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937" w:rsidRPr="00E44C56" w:rsidRDefault="00563E8B" w:rsidP="00E44C56">
      <w:pPr>
        <w:pBdr>
          <w:top w:val="single" w:sz="4" w:space="1" w:color="auto"/>
          <w:left w:val="single" w:sz="4" w:space="4" w:color="auto"/>
          <w:bottom w:val="single" w:sz="4" w:space="1" w:color="auto"/>
          <w:right w:val="single" w:sz="4" w:space="4" w:color="auto"/>
        </w:pBdr>
        <w:jc w:val="center"/>
        <w:rPr>
          <w:b/>
          <w:sz w:val="28"/>
          <w:szCs w:val="24"/>
        </w:rPr>
      </w:pPr>
      <w:r w:rsidRPr="00E44C56">
        <w:rPr>
          <w:b/>
          <w:sz w:val="28"/>
          <w:szCs w:val="24"/>
        </w:rPr>
        <w:t>Regulación y financiamiento del Autotransporte Público de Pasajeros</w:t>
      </w:r>
    </w:p>
    <w:p w:rsidR="00563E8B" w:rsidRDefault="00563E8B" w:rsidP="00E44C56">
      <w:pPr>
        <w:pBdr>
          <w:top w:val="single" w:sz="4" w:space="1" w:color="auto"/>
          <w:left w:val="single" w:sz="4" w:space="4" w:color="auto"/>
          <w:bottom w:val="single" w:sz="4" w:space="1" w:color="auto"/>
          <w:right w:val="single" w:sz="4" w:space="4" w:color="auto"/>
        </w:pBdr>
        <w:jc w:val="center"/>
        <w:rPr>
          <w:b/>
          <w:sz w:val="28"/>
          <w:szCs w:val="24"/>
        </w:rPr>
      </w:pPr>
      <w:r w:rsidRPr="00E44C56">
        <w:rPr>
          <w:b/>
          <w:sz w:val="28"/>
          <w:szCs w:val="24"/>
        </w:rPr>
        <w:t xml:space="preserve">Notas </w:t>
      </w:r>
      <w:r w:rsidR="008D53D9">
        <w:rPr>
          <w:b/>
          <w:sz w:val="28"/>
          <w:szCs w:val="24"/>
        </w:rPr>
        <w:t>conceptuales</w:t>
      </w:r>
    </w:p>
    <w:p w:rsidR="00E44C56" w:rsidRPr="00E44C56" w:rsidRDefault="00E44C56" w:rsidP="00E44C56">
      <w:pPr>
        <w:pBdr>
          <w:top w:val="single" w:sz="4" w:space="1" w:color="auto"/>
          <w:left w:val="single" w:sz="4" w:space="4" w:color="auto"/>
          <w:bottom w:val="single" w:sz="4" w:space="1" w:color="auto"/>
          <w:right w:val="single" w:sz="4" w:space="4" w:color="auto"/>
        </w:pBdr>
        <w:spacing w:after="0"/>
        <w:jc w:val="right"/>
        <w:rPr>
          <w:szCs w:val="24"/>
        </w:rPr>
      </w:pPr>
      <w:r w:rsidRPr="00E44C56">
        <w:rPr>
          <w:szCs w:val="24"/>
        </w:rPr>
        <w:t>Alberto Müller</w:t>
      </w:r>
    </w:p>
    <w:p w:rsidR="00E44C56" w:rsidRPr="00E44C56" w:rsidRDefault="00E44C56" w:rsidP="00E44C56">
      <w:pPr>
        <w:pBdr>
          <w:top w:val="single" w:sz="4" w:space="1" w:color="auto"/>
          <w:left w:val="single" w:sz="4" w:space="4" w:color="auto"/>
          <w:bottom w:val="single" w:sz="4" w:space="1" w:color="auto"/>
          <w:right w:val="single" w:sz="4" w:space="4" w:color="auto"/>
        </w:pBdr>
        <w:spacing w:after="0"/>
        <w:jc w:val="right"/>
        <w:rPr>
          <w:szCs w:val="24"/>
        </w:rPr>
      </w:pPr>
      <w:r w:rsidRPr="00E44C56">
        <w:rPr>
          <w:szCs w:val="24"/>
        </w:rPr>
        <w:t>CESPA-FCE-UBA</w:t>
      </w:r>
    </w:p>
    <w:sdt>
      <w:sdtPr>
        <w:rPr>
          <w:lang w:val="es-ES"/>
        </w:rPr>
        <w:id w:val="1301651524"/>
        <w:docPartObj>
          <w:docPartGallery w:val="Table of Contents"/>
          <w:docPartUnique/>
        </w:docPartObj>
      </w:sdtPr>
      <w:sdtEndPr>
        <w:rPr>
          <w:rFonts w:asciiTheme="minorHAnsi" w:eastAsiaTheme="minorHAnsi" w:hAnsiTheme="minorHAnsi" w:cstheme="minorBidi"/>
          <w:color w:val="auto"/>
          <w:sz w:val="22"/>
          <w:szCs w:val="22"/>
          <w:lang w:eastAsia="en-US"/>
        </w:rPr>
      </w:sdtEndPr>
      <w:sdtContent>
        <w:p w:rsidR="001D7098" w:rsidRDefault="001D7098">
          <w:pPr>
            <w:pStyle w:val="TtulodeTDC"/>
          </w:pPr>
          <w:r>
            <w:rPr>
              <w:lang w:val="es-ES"/>
            </w:rPr>
            <w:t>Contenido</w:t>
          </w:r>
        </w:p>
        <w:p w:rsidR="001D7098" w:rsidRDefault="001D7098">
          <w:pPr>
            <w:pStyle w:val="TDC1"/>
            <w:tabs>
              <w:tab w:val="right" w:leader="dot" w:pos="9536"/>
            </w:tabs>
            <w:rPr>
              <w:rFonts w:eastAsiaTheme="minorEastAsia"/>
              <w:noProof/>
              <w:lang w:eastAsia="es-AR"/>
            </w:rPr>
          </w:pPr>
          <w:r>
            <w:fldChar w:fldCharType="begin"/>
          </w:r>
          <w:r>
            <w:instrText xml:space="preserve"> TOC \o "1-3" \h \z \u </w:instrText>
          </w:r>
          <w:r>
            <w:fldChar w:fldCharType="separate"/>
          </w:r>
          <w:hyperlink w:anchor="_Toc356918179" w:history="1">
            <w:r w:rsidRPr="00452704">
              <w:rPr>
                <w:rStyle w:val="Hipervnculo"/>
                <w:noProof/>
              </w:rPr>
              <w:t>Objeto</w:t>
            </w:r>
            <w:r>
              <w:rPr>
                <w:noProof/>
                <w:webHidden/>
              </w:rPr>
              <w:tab/>
            </w:r>
            <w:r>
              <w:rPr>
                <w:noProof/>
                <w:webHidden/>
              </w:rPr>
              <w:fldChar w:fldCharType="begin"/>
            </w:r>
            <w:r>
              <w:rPr>
                <w:noProof/>
                <w:webHidden/>
              </w:rPr>
              <w:instrText xml:space="preserve"> PAGEREF _Toc356918179 \h </w:instrText>
            </w:r>
            <w:r>
              <w:rPr>
                <w:noProof/>
                <w:webHidden/>
              </w:rPr>
            </w:r>
            <w:r>
              <w:rPr>
                <w:noProof/>
                <w:webHidden/>
              </w:rPr>
              <w:fldChar w:fldCharType="separate"/>
            </w:r>
            <w:r>
              <w:rPr>
                <w:noProof/>
                <w:webHidden/>
              </w:rPr>
              <w:t>1</w:t>
            </w:r>
            <w:r>
              <w:rPr>
                <w:noProof/>
                <w:webHidden/>
              </w:rPr>
              <w:fldChar w:fldCharType="end"/>
            </w:r>
          </w:hyperlink>
        </w:p>
        <w:p w:rsidR="001D7098" w:rsidRDefault="001D7098">
          <w:pPr>
            <w:pStyle w:val="TDC1"/>
            <w:tabs>
              <w:tab w:val="right" w:leader="dot" w:pos="9536"/>
            </w:tabs>
            <w:rPr>
              <w:rFonts w:eastAsiaTheme="minorEastAsia"/>
              <w:noProof/>
              <w:lang w:eastAsia="es-AR"/>
            </w:rPr>
          </w:pPr>
          <w:hyperlink w:anchor="_Toc356918180" w:history="1">
            <w:r w:rsidRPr="00452704">
              <w:rPr>
                <w:rStyle w:val="Hipervnculo"/>
                <w:noProof/>
              </w:rPr>
              <w:t>Regulación o libre mercado en el APP: principios básicos</w:t>
            </w:r>
            <w:r>
              <w:rPr>
                <w:noProof/>
                <w:webHidden/>
              </w:rPr>
              <w:tab/>
            </w:r>
            <w:r>
              <w:rPr>
                <w:noProof/>
                <w:webHidden/>
              </w:rPr>
              <w:fldChar w:fldCharType="begin"/>
            </w:r>
            <w:r>
              <w:rPr>
                <w:noProof/>
                <w:webHidden/>
              </w:rPr>
              <w:instrText xml:space="preserve"> PAGEREF _Toc356918180 \h </w:instrText>
            </w:r>
            <w:r>
              <w:rPr>
                <w:noProof/>
                <w:webHidden/>
              </w:rPr>
            </w:r>
            <w:r>
              <w:rPr>
                <w:noProof/>
                <w:webHidden/>
              </w:rPr>
              <w:fldChar w:fldCharType="separate"/>
            </w:r>
            <w:r>
              <w:rPr>
                <w:noProof/>
                <w:webHidden/>
              </w:rPr>
              <w:t>1</w:t>
            </w:r>
            <w:r>
              <w:rPr>
                <w:noProof/>
                <w:webHidden/>
              </w:rPr>
              <w:fldChar w:fldCharType="end"/>
            </w:r>
          </w:hyperlink>
        </w:p>
        <w:p w:rsidR="001D7098" w:rsidRDefault="001D7098">
          <w:pPr>
            <w:pStyle w:val="TDC1"/>
            <w:tabs>
              <w:tab w:val="right" w:leader="dot" w:pos="9536"/>
            </w:tabs>
            <w:rPr>
              <w:rFonts w:eastAsiaTheme="minorEastAsia"/>
              <w:noProof/>
              <w:lang w:eastAsia="es-AR"/>
            </w:rPr>
          </w:pPr>
          <w:hyperlink w:anchor="_Toc356918181" w:history="1">
            <w:r w:rsidRPr="00452704">
              <w:rPr>
                <w:rStyle w:val="Hipervnculo"/>
                <w:noProof/>
              </w:rPr>
              <w:t>La Regulación del APP: variantes</w:t>
            </w:r>
            <w:r>
              <w:rPr>
                <w:noProof/>
                <w:webHidden/>
              </w:rPr>
              <w:tab/>
            </w:r>
            <w:r>
              <w:rPr>
                <w:noProof/>
                <w:webHidden/>
              </w:rPr>
              <w:fldChar w:fldCharType="begin"/>
            </w:r>
            <w:r>
              <w:rPr>
                <w:noProof/>
                <w:webHidden/>
              </w:rPr>
              <w:instrText xml:space="preserve"> PAGEREF _Toc356918181 \h </w:instrText>
            </w:r>
            <w:r>
              <w:rPr>
                <w:noProof/>
                <w:webHidden/>
              </w:rPr>
            </w:r>
            <w:r>
              <w:rPr>
                <w:noProof/>
                <w:webHidden/>
              </w:rPr>
              <w:fldChar w:fldCharType="separate"/>
            </w:r>
            <w:r>
              <w:rPr>
                <w:noProof/>
                <w:webHidden/>
              </w:rPr>
              <w:t>8</w:t>
            </w:r>
            <w:r>
              <w:rPr>
                <w:noProof/>
                <w:webHidden/>
              </w:rPr>
              <w:fldChar w:fldCharType="end"/>
            </w:r>
          </w:hyperlink>
        </w:p>
        <w:p w:rsidR="001D7098" w:rsidRDefault="001D7098">
          <w:r>
            <w:rPr>
              <w:b/>
              <w:bCs/>
              <w:lang w:val="es-ES"/>
            </w:rPr>
            <w:fldChar w:fldCharType="end"/>
          </w:r>
        </w:p>
      </w:sdtContent>
    </w:sdt>
    <w:p w:rsidR="00E44C56" w:rsidRDefault="00E44C56">
      <w:pPr>
        <w:rPr>
          <w:b/>
          <w:sz w:val="24"/>
          <w:szCs w:val="24"/>
        </w:rPr>
      </w:pPr>
    </w:p>
    <w:p w:rsidR="000C1264" w:rsidRDefault="000C1264">
      <w:pPr>
        <w:rPr>
          <w:b/>
          <w:sz w:val="24"/>
          <w:szCs w:val="24"/>
        </w:rPr>
      </w:pPr>
    </w:p>
    <w:p w:rsidR="00563E8B" w:rsidRDefault="00E44C56" w:rsidP="001D7098">
      <w:pPr>
        <w:pStyle w:val="Ttulo1"/>
        <w:rPr>
          <w:sz w:val="24"/>
          <w:szCs w:val="24"/>
        </w:rPr>
      </w:pPr>
      <w:bookmarkStart w:id="0" w:name="_Toc356918179"/>
      <w:r w:rsidRPr="00E44C56">
        <w:rPr>
          <w:sz w:val="24"/>
          <w:szCs w:val="24"/>
        </w:rPr>
        <w:t>Objeto</w:t>
      </w:r>
      <w:bookmarkEnd w:id="0"/>
    </w:p>
    <w:p w:rsidR="001D7098" w:rsidRPr="001D7098" w:rsidRDefault="001D7098" w:rsidP="001D7098"/>
    <w:p w:rsidR="00E44C56" w:rsidRPr="00E44C56" w:rsidRDefault="00E44C56" w:rsidP="00E85774">
      <w:pPr>
        <w:pStyle w:val="Prrafodelista"/>
        <w:numPr>
          <w:ilvl w:val="0"/>
          <w:numId w:val="1"/>
        </w:numPr>
        <w:jc w:val="both"/>
        <w:rPr>
          <w:sz w:val="24"/>
          <w:szCs w:val="24"/>
        </w:rPr>
      </w:pPr>
      <w:r w:rsidRPr="00E44C56">
        <w:rPr>
          <w:sz w:val="24"/>
          <w:szCs w:val="24"/>
        </w:rPr>
        <w:t>El propósito de este texto es tratar las dos cuestiones siguientes:</w:t>
      </w:r>
    </w:p>
    <w:p w:rsidR="00E44C56" w:rsidRPr="00E44C56" w:rsidRDefault="00E44C56" w:rsidP="00E85774">
      <w:pPr>
        <w:pStyle w:val="Prrafodelista"/>
        <w:numPr>
          <w:ilvl w:val="1"/>
          <w:numId w:val="1"/>
        </w:numPr>
        <w:jc w:val="both"/>
        <w:rPr>
          <w:sz w:val="24"/>
          <w:szCs w:val="24"/>
        </w:rPr>
      </w:pPr>
      <w:r w:rsidRPr="00E44C56">
        <w:rPr>
          <w:sz w:val="24"/>
          <w:szCs w:val="24"/>
        </w:rPr>
        <w:t xml:space="preserve">¿Cómo debe organizarse la prestación del servicio del Autotransporte Público de Pasajeros </w:t>
      </w:r>
      <w:r w:rsidR="000C1264">
        <w:rPr>
          <w:sz w:val="24"/>
          <w:szCs w:val="24"/>
        </w:rPr>
        <w:t xml:space="preserve">de alcance urbano </w:t>
      </w:r>
      <w:r w:rsidRPr="00E44C56">
        <w:rPr>
          <w:sz w:val="24"/>
          <w:szCs w:val="24"/>
        </w:rPr>
        <w:t>(APP) en cuanto a la definición de recorridos, tarifas, frecuencias, etc.? En particular: ¿la prestación debe ser definida por el Estado, debe dejarse a la libre iniciativa de los eventuales operadores interesados</w:t>
      </w:r>
      <w:r w:rsidR="001C6395">
        <w:rPr>
          <w:sz w:val="24"/>
          <w:szCs w:val="24"/>
        </w:rPr>
        <w:t xml:space="preserve"> o puede aplicarse algún esquema mixto</w:t>
      </w:r>
      <w:r w:rsidRPr="00E44C56">
        <w:rPr>
          <w:sz w:val="24"/>
          <w:szCs w:val="24"/>
        </w:rPr>
        <w:t>?</w:t>
      </w:r>
    </w:p>
    <w:p w:rsidR="00E44C56" w:rsidRPr="00E44C56" w:rsidRDefault="00E44C56" w:rsidP="00E85774">
      <w:pPr>
        <w:pStyle w:val="Prrafodelista"/>
        <w:numPr>
          <w:ilvl w:val="1"/>
          <w:numId w:val="1"/>
        </w:numPr>
        <w:jc w:val="both"/>
        <w:rPr>
          <w:sz w:val="24"/>
          <w:szCs w:val="24"/>
        </w:rPr>
      </w:pPr>
      <w:r w:rsidRPr="00E44C56">
        <w:rPr>
          <w:sz w:val="24"/>
          <w:szCs w:val="24"/>
        </w:rPr>
        <w:t>¿Cómo debe financiarse la prestación? En particular: ¿existe justificación para que se brinde un subsidio, y bajo cuáles condiciones?</w:t>
      </w:r>
    </w:p>
    <w:p w:rsidR="00E44C56" w:rsidRPr="00E44C56" w:rsidRDefault="00E44C56" w:rsidP="00E85774">
      <w:pPr>
        <w:pStyle w:val="Prrafodelista"/>
        <w:ind w:left="360"/>
        <w:jc w:val="both"/>
        <w:rPr>
          <w:sz w:val="24"/>
          <w:szCs w:val="24"/>
        </w:rPr>
      </w:pPr>
    </w:p>
    <w:p w:rsidR="00E44C56" w:rsidRPr="00E44C56" w:rsidRDefault="00E44C56" w:rsidP="00E85774">
      <w:pPr>
        <w:pStyle w:val="Prrafodelista"/>
        <w:numPr>
          <w:ilvl w:val="0"/>
          <w:numId w:val="1"/>
        </w:numPr>
        <w:jc w:val="both"/>
        <w:rPr>
          <w:sz w:val="24"/>
          <w:szCs w:val="24"/>
        </w:rPr>
      </w:pPr>
      <w:r w:rsidRPr="00E44C56">
        <w:rPr>
          <w:sz w:val="24"/>
          <w:szCs w:val="24"/>
        </w:rPr>
        <w:t>En primer lugar, discutiremos la cuestión</w:t>
      </w:r>
      <w:r w:rsidR="008D53D9">
        <w:rPr>
          <w:sz w:val="24"/>
          <w:szCs w:val="24"/>
        </w:rPr>
        <w:t xml:space="preserve"> de la organización de la prestación</w:t>
      </w:r>
      <w:r w:rsidRPr="00E44C56">
        <w:rPr>
          <w:sz w:val="24"/>
          <w:szCs w:val="24"/>
        </w:rPr>
        <w:t>, desde un ángulo conceptual. Luego, analizaremos variantes en la regulación del APP, para concluir con algunas consideraciones en torno al tema del financiamiento.</w:t>
      </w:r>
    </w:p>
    <w:p w:rsidR="000C1264" w:rsidRDefault="000C1264" w:rsidP="00E85774">
      <w:pPr>
        <w:jc w:val="both"/>
        <w:rPr>
          <w:b/>
          <w:sz w:val="24"/>
          <w:szCs w:val="24"/>
        </w:rPr>
      </w:pPr>
    </w:p>
    <w:p w:rsidR="00E44C56" w:rsidRPr="001D7098" w:rsidRDefault="00E44C56" w:rsidP="001D7098">
      <w:pPr>
        <w:pStyle w:val="Ttulo1"/>
        <w:rPr>
          <w:sz w:val="24"/>
          <w:szCs w:val="24"/>
        </w:rPr>
      </w:pPr>
      <w:bookmarkStart w:id="1" w:name="_Toc356918180"/>
      <w:r w:rsidRPr="00E44C56">
        <w:rPr>
          <w:sz w:val="24"/>
          <w:szCs w:val="24"/>
        </w:rPr>
        <w:lastRenderedPageBreak/>
        <w:t>Regulación o libre mercado en el APP</w:t>
      </w:r>
      <w:r w:rsidR="006705CF">
        <w:rPr>
          <w:sz w:val="24"/>
          <w:szCs w:val="24"/>
        </w:rPr>
        <w:t>: principios básicos</w:t>
      </w:r>
      <w:bookmarkEnd w:id="1"/>
    </w:p>
    <w:p w:rsidR="00E44C56" w:rsidRDefault="00E44C56" w:rsidP="00E85774">
      <w:pPr>
        <w:pStyle w:val="Prrafodelista"/>
        <w:numPr>
          <w:ilvl w:val="0"/>
          <w:numId w:val="1"/>
        </w:numPr>
        <w:jc w:val="both"/>
        <w:rPr>
          <w:sz w:val="24"/>
          <w:szCs w:val="24"/>
        </w:rPr>
      </w:pPr>
      <w:r>
        <w:rPr>
          <w:sz w:val="24"/>
          <w:szCs w:val="24"/>
        </w:rPr>
        <w:t>La observación práctica indica que el APP es un servicio que se presta bajo un régimen de regulación</w:t>
      </w:r>
      <w:r w:rsidR="001C6395">
        <w:rPr>
          <w:sz w:val="24"/>
          <w:szCs w:val="24"/>
        </w:rPr>
        <w:t>, en la gran mayoría de las áreas urbanas</w:t>
      </w:r>
      <w:r>
        <w:rPr>
          <w:sz w:val="24"/>
          <w:szCs w:val="24"/>
        </w:rPr>
        <w:t>. En particular, podemos constatar lo siguiente</w:t>
      </w:r>
      <w:r w:rsidR="000C1264">
        <w:rPr>
          <w:sz w:val="24"/>
          <w:szCs w:val="24"/>
        </w:rPr>
        <w:t>, en la generalidad de los casos del APP en Argentina</w:t>
      </w:r>
      <w:r>
        <w:rPr>
          <w:sz w:val="24"/>
          <w:szCs w:val="24"/>
        </w:rPr>
        <w:t>:</w:t>
      </w:r>
    </w:p>
    <w:p w:rsidR="00E44C56" w:rsidRDefault="00E44C56" w:rsidP="00E85774">
      <w:pPr>
        <w:pStyle w:val="Prrafodelista"/>
        <w:numPr>
          <w:ilvl w:val="0"/>
          <w:numId w:val="2"/>
        </w:numPr>
        <w:jc w:val="both"/>
        <w:rPr>
          <w:sz w:val="24"/>
          <w:szCs w:val="24"/>
        </w:rPr>
      </w:pPr>
      <w:r>
        <w:rPr>
          <w:sz w:val="24"/>
          <w:szCs w:val="24"/>
        </w:rPr>
        <w:t>Los recorridos son establecidos en un permiso o concesión que es otorgado por una autoridad estatal, no siendo posible operar un recorrido sin una autorización explícita de ésta.</w:t>
      </w:r>
    </w:p>
    <w:p w:rsidR="00E44C56" w:rsidRDefault="000C1264" w:rsidP="00E85774">
      <w:pPr>
        <w:pStyle w:val="Prrafodelista"/>
        <w:numPr>
          <w:ilvl w:val="0"/>
          <w:numId w:val="2"/>
        </w:numPr>
        <w:jc w:val="both"/>
        <w:rPr>
          <w:sz w:val="24"/>
          <w:szCs w:val="24"/>
        </w:rPr>
      </w:pPr>
      <w:r>
        <w:rPr>
          <w:sz w:val="24"/>
          <w:szCs w:val="24"/>
        </w:rPr>
        <w:t>Las tarifas son establecidas por la autoridad estatal</w:t>
      </w:r>
      <w:r w:rsidR="00EC47FE">
        <w:rPr>
          <w:sz w:val="24"/>
          <w:szCs w:val="24"/>
        </w:rPr>
        <w:t>.</w:t>
      </w:r>
    </w:p>
    <w:p w:rsidR="00EC47FE" w:rsidRDefault="00EC47FE" w:rsidP="00E85774">
      <w:pPr>
        <w:pStyle w:val="Prrafodelista"/>
        <w:numPr>
          <w:ilvl w:val="0"/>
          <w:numId w:val="2"/>
        </w:numPr>
        <w:jc w:val="both"/>
        <w:rPr>
          <w:sz w:val="24"/>
          <w:szCs w:val="24"/>
        </w:rPr>
      </w:pPr>
      <w:r>
        <w:rPr>
          <w:sz w:val="24"/>
          <w:szCs w:val="24"/>
        </w:rPr>
        <w:t xml:space="preserve">El operador debe </w:t>
      </w:r>
      <w:r w:rsidR="001C6395">
        <w:rPr>
          <w:sz w:val="24"/>
          <w:szCs w:val="24"/>
        </w:rPr>
        <w:t>brindar</w:t>
      </w:r>
      <w:r>
        <w:rPr>
          <w:sz w:val="24"/>
          <w:szCs w:val="24"/>
        </w:rPr>
        <w:t xml:space="preserve"> el servicio en igualdad de condiciones a todo aquél individuo que se encuentre dispuesto a abonar la tarifa fijada (régimen de servicio público).</w:t>
      </w:r>
    </w:p>
    <w:p w:rsidR="000C1264" w:rsidRDefault="000C1264" w:rsidP="00E85774">
      <w:pPr>
        <w:pStyle w:val="Prrafodelista"/>
        <w:numPr>
          <w:ilvl w:val="0"/>
          <w:numId w:val="2"/>
        </w:numPr>
        <w:jc w:val="both"/>
        <w:rPr>
          <w:sz w:val="24"/>
          <w:szCs w:val="24"/>
        </w:rPr>
      </w:pPr>
      <w:r>
        <w:rPr>
          <w:sz w:val="24"/>
          <w:szCs w:val="24"/>
        </w:rPr>
        <w:t>El parque móvil opera con autorización estatal, que supervisa altas y bajas, y regula la cantidad de vehículos afectados al servicio.</w:t>
      </w:r>
    </w:p>
    <w:p w:rsidR="000C1264" w:rsidRDefault="000C1264" w:rsidP="00E85774">
      <w:pPr>
        <w:pStyle w:val="Prrafodelista"/>
        <w:numPr>
          <w:ilvl w:val="0"/>
          <w:numId w:val="2"/>
        </w:numPr>
        <w:jc w:val="both"/>
        <w:rPr>
          <w:sz w:val="24"/>
          <w:szCs w:val="24"/>
        </w:rPr>
      </w:pPr>
      <w:r>
        <w:rPr>
          <w:sz w:val="24"/>
          <w:szCs w:val="24"/>
        </w:rPr>
        <w:t>Las frecuencias de prestación son fijadas por la autoridad pública en el permiso o concesión.</w:t>
      </w:r>
    </w:p>
    <w:p w:rsidR="001C6395" w:rsidRPr="001C6395" w:rsidRDefault="001C6395" w:rsidP="00E85774">
      <w:pPr>
        <w:jc w:val="both"/>
        <w:rPr>
          <w:sz w:val="24"/>
          <w:szCs w:val="24"/>
        </w:rPr>
      </w:pPr>
      <w:r>
        <w:rPr>
          <w:sz w:val="24"/>
          <w:szCs w:val="24"/>
        </w:rPr>
        <w:t>Ya en lo referido al financiamiento, existe una diversidad de situaciones</w:t>
      </w:r>
      <w:r w:rsidR="008D53D9">
        <w:rPr>
          <w:sz w:val="24"/>
          <w:szCs w:val="24"/>
        </w:rPr>
        <w:t>, que no detallamos aquí</w:t>
      </w:r>
      <w:r>
        <w:rPr>
          <w:sz w:val="24"/>
          <w:szCs w:val="24"/>
        </w:rPr>
        <w:t>.</w:t>
      </w:r>
    </w:p>
    <w:p w:rsidR="00FB4F28" w:rsidRDefault="00FB4F28" w:rsidP="00E85774">
      <w:pPr>
        <w:pStyle w:val="Prrafodelista"/>
        <w:jc w:val="both"/>
        <w:rPr>
          <w:sz w:val="24"/>
          <w:szCs w:val="24"/>
        </w:rPr>
      </w:pPr>
    </w:p>
    <w:p w:rsidR="008D53D9" w:rsidRDefault="00FB4F28" w:rsidP="00E85774">
      <w:pPr>
        <w:pStyle w:val="Prrafodelista"/>
        <w:numPr>
          <w:ilvl w:val="0"/>
          <w:numId w:val="1"/>
        </w:numPr>
        <w:jc w:val="both"/>
        <w:rPr>
          <w:sz w:val="24"/>
          <w:szCs w:val="24"/>
        </w:rPr>
      </w:pPr>
      <w:r>
        <w:rPr>
          <w:sz w:val="24"/>
          <w:szCs w:val="24"/>
        </w:rPr>
        <w:t xml:space="preserve">Llamaremos </w:t>
      </w:r>
      <w:r w:rsidR="008D53D9">
        <w:rPr>
          <w:b/>
          <w:sz w:val="24"/>
          <w:szCs w:val="24"/>
          <w:u w:val="single"/>
        </w:rPr>
        <w:t>R</w:t>
      </w:r>
      <w:r w:rsidR="008D53D9" w:rsidRPr="00FB4F28">
        <w:rPr>
          <w:b/>
          <w:sz w:val="24"/>
          <w:szCs w:val="24"/>
          <w:u w:val="single"/>
        </w:rPr>
        <w:t xml:space="preserve">egulación </w:t>
      </w:r>
      <w:r w:rsidR="008D53D9">
        <w:rPr>
          <w:b/>
          <w:sz w:val="24"/>
          <w:szCs w:val="24"/>
          <w:u w:val="single"/>
        </w:rPr>
        <w:t>E</w:t>
      </w:r>
      <w:r w:rsidR="008D53D9" w:rsidRPr="00FB4F28">
        <w:rPr>
          <w:b/>
          <w:sz w:val="24"/>
          <w:szCs w:val="24"/>
          <w:u w:val="single"/>
        </w:rPr>
        <w:t>conómica</w:t>
      </w:r>
      <w:r w:rsidR="008D53D9">
        <w:rPr>
          <w:sz w:val="24"/>
          <w:szCs w:val="24"/>
        </w:rPr>
        <w:t xml:space="preserve"> </w:t>
      </w:r>
      <w:r>
        <w:rPr>
          <w:sz w:val="24"/>
          <w:szCs w:val="24"/>
        </w:rPr>
        <w:t xml:space="preserve">a este tipo de </w:t>
      </w:r>
      <w:r w:rsidR="008D53D9">
        <w:rPr>
          <w:sz w:val="24"/>
          <w:szCs w:val="24"/>
        </w:rPr>
        <w:t>organización del servicio</w:t>
      </w:r>
      <w:r>
        <w:rPr>
          <w:sz w:val="24"/>
          <w:szCs w:val="24"/>
        </w:rPr>
        <w:t xml:space="preserve">. </w:t>
      </w:r>
      <w:r w:rsidR="008D53D9">
        <w:rPr>
          <w:sz w:val="24"/>
          <w:szCs w:val="24"/>
        </w:rPr>
        <w:t xml:space="preserve">Este marco se distingue de aquél donde existe libertad </w:t>
      </w:r>
      <w:r w:rsidR="00C42405">
        <w:rPr>
          <w:sz w:val="24"/>
          <w:szCs w:val="24"/>
        </w:rPr>
        <w:t>de ingreso, producción y precio.</w:t>
      </w:r>
      <w:r w:rsidR="008D53D9">
        <w:rPr>
          <w:sz w:val="24"/>
          <w:szCs w:val="24"/>
        </w:rPr>
        <w:t xml:space="preserve"> </w:t>
      </w:r>
      <w:r w:rsidR="00C42405">
        <w:rPr>
          <w:sz w:val="24"/>
          <w:szCs w:val="24"/>
        </w:rPr>
        <w:t>E</w:t>
      </w:r>
      <w:r w:rsidR="008D53D9">
        <w:rPr>
          <w:sz w:val="24"/>
          <w:szCs w:val="24"/>
        </w:rPr>
        <w:t xml:space="preserve">n otros términos, podemos definir dos </w:t>
      </w:r>
      <w:r w:rsidR="008D53D9" w:rsidRPr="009F2B84">
        <w:rPr>
          <w:sz w:val="24"/>
          <w:szCs w:val="24"/>
          <w:u w:val="single"/>
        </w:rPr>
        <w:t>regímenes</w:t>
      </w:r>
      <w:r w:rsidR="008D53D9">
        <w:rPr>
          <w:sz w:val="24"/>
          <w:szCs w:val="24"/>
        </w:rPr>
        <w:t xml:space="preserve"> extremos en cuanto al desarrollo de actividades económicas en general: operación  en condiciones de </w:t>
      </w:r>
      <w:r w:rsidR="008D53D9" w:rsidRPr="00E85774">
        <w:rPr>
          <w:b/>
          <w:sz w:val="24"/>
          <w:szCs w:val="24"/>
          <w:u w:val="single"/>
        </w:rPr>
        <w:t>Mercado Libre</w:t>
      </w:r>
      <w:r w:rsidR="008D53D9">
        <w:rPr>
          <w:sz w:val="24"/>
          <w:szCs w:val="24"/>
        </w:rPr>
        <w:t xml:space="preserve"> (ML), y operación bajo un régimen de </w:t>
      </w:r>
      <w:r w:rsidR="008D53D9" w:rsidRPr="00E85774">
        <w:rPr>
          <w:b/>
          <w:sz w:val="24"/>
          <w:szCs w:val="24"/>
          <w:u w:val="single"/>
        </w:rPr>
        <w:t>Regulación Económica</w:t>
      </w:r>
      <w:r w:rsidR="008D53D9">
        <w:rPr>
          <w:sz w:val="24"/>
          <w:szCs w:val="24"/>
        </w:rPr>
        <w:t xml:space="preserve"> (RE). </w:t>
      </w:r>
      <w:r w:rsidR="00E85774">
        <w:rPr>
          <w:sz w:val="24"/>
          <w:szCs w:val="24"/>
        </w:rPr>
        <w:t>E</w:t>
      </w:r>
      <w:r w:rsidR="008D53D9">
        <w:rPr>
          <w:sz w:val="24"/>
          <w:szCs w:val="24"/>
        </w:rPr>
        <w:t xml:space="preserve">stos dos casos admiten configuraciones intermedias (como veremos que puede ser el caso del APP). </w:t>
      </w:r>
    </w:p>
    <w:p w:rsidR="008D53D9" w:rsidRDefault="008D53D9" w:rsidP="00E85774">
      <w:pPr>
        <w:pStyle w:val="Prrafodelista"/>
        <w:ind w:left="360"/>
        <w:jc w:val="both"/>
        <w:rPr>
          <w:sz w:val="24"/>
          <w:szCs w:val="24"/>
        </w:rPr>
      </w:pPr>
    </w:p>
    <w:p w:rsidR="004D091E" w:rsidRDefault="008D53D9" w:rsidP="00E85774">
      <w:pPr>
        <w:pStyle w:val="Prrafodelista"/>
        <w:numPr>
          <w:ilvl w:val="0"/>
          <w:numId w:val="1"/>
        </w:numPr>
        <w:jc w:val="both"/>
        <w:rPr>
          <w:sz w:val="24"/>
          <w:szCs w:val="24"/>
        </w:rPr>
      </w:pPr>
      <w:r>
        <w:rPr>
          <w:sz w:val="24"/>
          <w:szCs w:val="24"/>
        </w:rPr>
        <w:t>La RE</w:t>
      </w:r>
      <w:r w:rsidR="00FB4F28">
        <w:rPr>
          <w:sz w:val="24"/>
          <w:szCs w:val="24"/>
        </w:rPr>
        <w:t xml:space="preserve"> no debe ser confundida con la </w:t>
      </w:r>
      <w:r w:rsidR="00FB4F28" w:rsidRPr="00FB4F28">
        <w:rPr>
          <w:sz w:val="24"/>
          <w:szCs w:val="24"/>
          <w:u w:val="single"/>
        </w:rPr>
        <w:t>reglamentación</w:t>
      </w:r>
      <w:r w:rsidR="00FB4F28">
        <w:rPr>
          <w:sz w:val="24"/>
          <w:szCs w:val="24"/>
        </w:rPr>
        <w:t xml:space="preserve"> estatal de la generalidad de las actividades</w:t>
      </w:r>
      <w:r>
        <w:rPr>
          <w:sz w:val="24"/>
          <w:szCs w:val="24"/>
        </w:rPr>
        <w:t>.</w:t>
      </w:r>
      <w:r w:rsidR="00FB4F28">
        <w:rPr>
          <w:sz w:val="24"/>
          <w:szCs w:val="24"/>
        </w:rPr>
        <w:t xml:space="preserve"> </w:t>
      </w:r>
      <w:r>
        <w:rPr>
          <w:sz w:val="24"/>
          <w:szCs w:val="24"/>
        </w:rPr>
        <w:t>É</w:t>
      </w:r>
      <w:r w:rsidR="00FB4F28">
        <w:rPr>
          <w:sz w:val="24"/>
          <w:szCs w:val="24"/>
        </w:rPr>
        <w:t xml:space="preserve">sta última apunta a cubrir aspectos </w:t>
      </w:r>
      <w:r w:rsidR="001C6395">
        <w:rPr>
          <w:sz w:val="24"/>
          <w:szCs w:val="24"/>
        </w:rPr>
        <w:t>tales como</w:t>
      </w:r>
      <w:r w:rsidR="00FB4F28">
        <w:rPr>
          <w:sz w:val="24"/>
          <w:szCs w:val="24"/>
        </w:rPr>
        <w:t xml:space="preserve"> defensa del consumidor</w:t>
      </w:r>
      <w:r w:rsidR="001C6395">
        <w:rPr>
          <w:sz w:val="24"/>
          <w:szCs w:val="24"/>
        </w:rPr>
        <w:t xml:space="preserve"> y</w:t>
      </w:r>
      <w:r w:rsidR="00FB4F28">
        <w:rPr>
          <w:sz w:val="24"/>
          <w:szCs w:val="24"/>
        </w:rPr>
        <w:t xml:space="preserve"> del medio ambiente, seguridad de los edificios, condiciones bromatológicas, etc. </w:t>
      </w:r>
      <w:r w:rsidR="001C6395">
        <w:rPr>
          <w:sz w:val="24"/>
          <w:szCs w:val="24"/>
        </w:rPr>
        <w:t>Puede existir reglamentación (y de hecho la hay en toda actividad productiva lícita); p</w:t>
      </w:r>
      <w:r w:rsidR="00FB4F28">
        <w:rPr>
          <w:sz w:val="24"/>
          <w:szCs w:val="24"/>
        </w:rPr>
        <w:t xml:space="preserve">ero </w:t>
      </w:r>
      <w:r w:rsidR="001C6395">
        <w:rPr>
          <w:sz w:val="24"/>
          <w:szCs w:val="24"/>
        </w:rPr>
        <w:t xml:space="preserve">ello no significa que </w:t>
      </w:r>
      <w:r w:rsidR="00FB4F28">
        <w:rPr>
          <w:sz w:val="24"/>
          <w:szCs w:val="24"/>
        </w:rPr>
        <w:t xml:space="preserve">el Estado </w:t>
      </w:r>
      <w:r w:rsidR="001C6395">
        <w:rPr>
          <w:sz w:val="24"/>
          <w:szCs w:val="24"/>
        </w:rPr>
        <w:t>intervenga</w:t>
      </w:r>
      <w:r w:rsidR="00FB4F28">
        <w:rPr>
          <w:sz w:val="24"/>
          <w:szCs w:val="24"/>
        </w:rPr>
        <w:t xml:space="preserve"> en la definición de lo que cada oferente decide producir y vender, y a qué precio lo hace</w:t>
      </w:r>
      <w:r w:rsidR="004D091E">
        <w:rPr>
          <w:sz w:val="24"/>
          <w:szCs w:val="24"/>
        </w:rPr>
        <w:t xml:space="preserve">; esto sí ocurre en el caso de la </w:t>
      </w:r>
      <w:r w:rsidR="00E85774">
        <w:rPr>
          <w:sz w:val="24"/>
          <w:szCs w:val="24"/>
        </w:rPr>
        <w:t>RE</w:t>
      </w:r>
      <w:r w:rsidR="004D091E">
        <w:rPr>
          <w:sz w:val="24"/>
          <w:szCs w:val="24"/>
        </w:rPr>
        <w:t xml:space="preserve">. </w:t>
      </w:r>
    </w:p>
    <w:p w:rsidR="009F2B84" w:rsidRPr="009F2B84" w:rsidRDefault="009F2B84" w:rsidP="00E85774">
      <w:pPr>
        <w:pStyle w:val="Prrafodelista"/>
        <w:jc w:val="both"/>
        <w:rPr>
          <w:sz w:val="24"/>
          <w:szCs w:val="24"/>
        </w:rPr>
      </w:pPr>
    </w:p>
    <w:p w:rsidR="00FB4F28" w:rsidRDefault="009F2B84" w:rsidP="00E85774">
      <w:pPr>
        <w:pStyle w:val="Prrafodelista"/>
        <w:numPr>
          <w:ilvl w:val="0"/>
          <w:numId w:val="1"/>
        </w:numPr>
        <w:jc w:val="both"/>
        <w:rPr>
          <w:sz w:val="24"/>
          <w:szCs w:val="24"/>
        </w:rPr>
      </w:pPr>
      <w:r>
        <w:rPr>
          <w:sz w:val="24"/>
          <w:szCs w:val="24"/>
        </w:rPr>
        <w:t>L</w:t>
      </w:r>
      <w:r w:rsidR="004D091E">
        <w:rPr>
          <w:sz w:val="24"/>
          <w:szCs w:val="24"/>
        </w:rPr>
        <w:t xml:space="preserve">a característica </w:t>
      </w:r>
      <w:r>
        <w:rPr>
          <w:sz w:val="24"/>
          <w:szCs w:val="24"/>
        </w:rPr>
        <w:t xml:space="preserve">más típica </w:t>
      </w:r>
      <w:r w:rsidR="004D091E">
        <w:rPr>
          <w:sz w:val="24"/>
          <w:szCs w:val="24"/>
        </w:rPr>
        <w:t>de la RE es la de condicionar la entrada de un nuevo oferente al otorgamiento de una autorización.</w:t>
      </w:r>
      <w:r>
        <w:rPr>
          <w:sz w:val="24"/>
          <w:szCs w:val="24"/>
        </w:rPr>
        <w:t xml:space="preserve"> Pero esto conlleva inmediatamente alguna consideración en torno al precio: si no existe libre entrada, está la posibilidad de que los oferentes actuales (denominados “incumbentes”) obtengan alguna ventaja indebida de su situación de protección. O sea, el ML libre es visto como una forma de controlar el precio a través de la competencia; la RE </w:t>
      </w:r>
      <w:r w:rsidR="00B154F8">
        <w:rPr>
          <w:sz w:val="24"/>
          <w:szCs w:val="24"/>
        </w:rPr>
        <w:t xml:space="preserve">requiere </w:t>
      </w:r>
      <w:r>
        <w:rPr>
          <w:sz w:val="24"/>
          <w:szCs w:val="24"/>
        </w:rPr>
        <w:t>recurr</w:t>
      </w:r>
      <w:r w:rsidR="00B154F8">
        <w:rPr>
          <w:sz w:val="24"/>
          <w:szCs w:val="24"/>
        </w:rPr>
        <w:t>ir</w:t>
      </w:r>
      <w:r>
        <w:rPr>
          <w:sz w:val="24"/>
          <w:szCs w:val="24"/>
        </w:rPr>
        <w:t xml:space="preserve"> en cambio directamente a la intervención estatal</w:t>
      </w:r>
      <w:r w:rsidR="00B154F8">
        <w:rPr>
          <w:sz w:val="24"/>
          <w:szCs w:val="24"/>
        </w:rPr>
        <w:t xml:space="preserve"> (algo que no necesariamente ocurre…)</w:t>
      </w:r>
      <w:r>
        <w:rPr>
          <w:sz w:val="24"/>
          <w:szCs w:val="24"/>
        </w:rPr>
        <w:t>.</w:t>
      </w:r>
    </w:p>
    <w:p w:rsidR="009F2B84" w:rsidRPr="009F2B84" w:rsidRDefault="009F2B84" w:rsidP="00E85774">
      <w:pPr>
        <w:pStyle w:val="Prrafodelista"/>
        <w:jc w:val="both"/>
        <w:rPr>
          <w:sz w:val="24"/>
          <w:szCs w:val="24"/>
        </w:rPr>
      </w:pPr>
    </w:p>
    <w:p w:rsidR="009F2B84" w:rsidRDefault="009F2B84" w:rsidP="00E85774">
      <w:pPr>
        <w:pStyle w:val="Prrafodelista"/>
        <w:numPr>
          <w:ilvl w:val="0"/>
          <w:numId w:val="1"/>
        </w:numPr>
        <w:jc w:val="both"/>
        <w:rPr>
          <w:sz w:val="24"/>
          <w:szCs w:val="24"/>
        </w:rPr>
      </w:pPr>
      <w:r>
        <w:rPr>
          <w:sz w:val="24"/>
          <w:szCs w:val="24"/>
        </w:rPr>
        <w:t>Es importante destacar que la existencia del subsidio no tiene relación con el régimen con que opere en particular una actividad productiva. Puede existir subsidio en condiciones de ML, de RE y de cualquier otra configuración intermedia que se pueda concebir (más allá de las eventuales dificultades que enfrente su implementación en cada caso).</w:t>
      </w:r>
    </w:p>
    <w:p w:rsidR="009F2B84" w:rsidRPr="009F2B84" w:rsidRDefault="009F2B84" w:rsidP="00E85774">
      <w:pPr>
        <w:pStyle w:val="Prrafodelista"/>
        <w:jc w:val="both"/>
        <w:rPr>
          <w:sz w:val="24"/>
          <w:szCs w:val="24"/>
        </w:rPr>
      </w:pPr>
    </w:p>
    <w:p w:rsidR="009F2B84" w:rsidRDefault="00E05DD8" w:rsidP="00E85774">
      <w:pPr>
        <w:pStyle w:val="Prrafodelista"/>
        <w:numPr>
          <w:ilvl w:val="0"/>
          <w:numId w:val="1"/>
        </w:numPr>
        <w:jc w:val="both"/>
        <w:rPr>
          <w:sz w:val="24"/>
          <w:szCs w:val="24"/>
        </w:rPr>
      </w:pPr>
      <w:r>
        <w:rPr>
          <w:sz w:val="24"/>
          <w:szCs w:val="24"/>
        </w:rPr>
        <w:t>E</w:t>
      </w:r>
      <w:r w:rsidR="00B154F8">
        <w:rPr>
          <w:sz w:val="24"/>
          <w:szCs w:val="24"/>
        </w:rPr>
        <w:t>l régimen de RE</w:t>
      </w:r>
      <w:r w:rsidR="009F2B84">
        <w:rPr>
          <w:sz w:val="24"/>
          <w:szCs w:val="24"/>
        </w:rPr>
        <w:t xml:space="preserve"> es muy particular, y difiere del que rige a la mayoría de las actividades económicas, que se organizan en general en torno de regímenes de ML. </w:t>
      </w:r>
      <w:r w:rsidR="00B154F8">
        <w:rPr>
          <w:sz w:val="24"/>
          <w:szCs w:val="24"/>
        </w:rPr>
        <w:t>Pero el APP n</w:t>
      </w:r>
      <w:r w:rsidR="009F2B84">
        <w:rPr>
          <w:sz w:val="24"/>
          <w:szCs w:val="24"/>
        </w:rPr>
        <w:t>o es por cierto el único caso; otros sectores también escapan a una lógica propia del ML. Podemos citar aquí los siguientes:</w:t>
      </w:r>
    </w:p>
    <w:p w:rsidR="009F2B84" w:rsidRDefault="009F2B84" w:rsidP="00E85774">
      <w:pPr>
        <w:pStyle w:val="Prrafodelista"/>
        <w:numPr>
          <w:ilvl w:val="0"/>
          <w:numId w:val="3"/>
        </w:numPr>
        <w:jc w:val="both"/>
        <w:rPr>
          <w:sz w:val="24"/>
          <w:szCs w:val="24"/>
        </w:rPr>
      </w:pPr>
      <w:r>
        <w:rPr>
          <w:sz w:val="24"/>
          <w:szCs w:val="24"/>
        </w:rPr>
        <w:t>La distribución de gas y electricidad</w:t>
      </w:r>
    </w:p>
    <w:p w:rsidR="009F2B84" w:rsidRDefault="009F2B84" w:rsidP="00E85774">
      <w:pPr>
        <w:pStyle w:val="Prrafodelista"/>
        <w:numPr>
          <w:ilvl w:val="0"/>
          <w:numId w:val="3"/>
        </w:numPr>
        <w:jc w:val="both"/>
        <w:rPr>
          <w:sz w:val="24"/>
          <w:szCs w:val="24"/>
        </w:rPr>
      </w:pPr>
      <w:r>
        <w:rPr>
          <w:sz w:val="24"/>
          <w:szCs w:val="24"/>
        </w:rPr>
        <w:t>El  servicio de agua y saneamiento</w:t>
      </w:r>
    </w:p>
    <w:p w:rsidR="009F2B84" w:rsidRDefault="009F2B84" w:rsidP="00E85774">
      <w:pPr>
        <w:pStyle w:val="Prrafodelista"/>
        <w:numPr>
          <w:ilvl w:val="0"/>
          <w:numId w:val="3"/>
        </w:numPr>
        <w:jc w:val="both"/>
        <w:rPr>
          <w:sz w:val="24"/>
          <w:szCs w:val="24"/>
        </w:rPr>
      </w:pPr>
      <w:r>
        <w:rPr>
          <w:sz w:val="24"/>
          <w:szCs w:val="24"/>
        </w:rPr>
        <w:t>Las escribanías</w:t>
      </w:r>
    </w:p>
    <w:p w:rsidR="009F2B84" w:rsidRDefault="009F2B84" w:rsidP="00E85774">
      <w:pPr>
        <w:pStyle w:val="Prrafodelista"/>
        <w:numPr>
          <w:ilvl w:val="0"/>
          <w:numId w:val="3"/>
        </w:numPr>
        <w:jc w:val="both"/>
        <w:rPr>
          <w:sz w:val="24"/>
          <w:szCs w:val="24"/>
        </w:rPr>
      </w:pPr>
      <w:r>
        <w:rPr>
          <w:sz w:val="24"/>
          <w:szCs w:val="24"/>
        </w:rPr>
        <w:t>En el pasado, existieron regulaciones para el ingreso de estaciones de servicio, kioscos de diario e incluso panaderías.</w:t>
      </w:r>
    </w:p>
    <w:p w:rsidR="009F2B84" w:rsidRDefault="009F2B84" w:rsidP="00E85774">
      <w:pPr>
        <w:pStyle w:val="Prrafodelista"/>
        <w:jc w:val="both"/>
        <w:rPr>
          <w:sz w:val="24"/>
          <w:szCs w:val="24"/>
        </w:rPr>
      </w:pPr>
    </w:p>
    <w:p w:rsidR="008D53D9" w:rsidRDefault="00E05DD8" w:rsidP="00E85774">
      <w:pPr>
        <w:pStyle w:val="Prrafodelista"/>
        <w:numPr>
          <w:ilvl w:val="0"/>
          <w:numId w:val="1"/>
        </w:numPr>
        <w:jc w:val="both"/>
        <w:rPr>
          <w:sz w:val="24"/>
          <w:szCs w:val="24"/>
        </w:rPr>
      </w:pPr>
      <w:r>
        <w:rPr>
          <w:sz w:val="24"/>
          <w:szCs w:val="24"/>
        </w:rPr>
        <w:t>Una pregunta crucial es entonces la siguiente</w:t>
      </w:r>
      <w:r w:rsidRPr="00E05DD8">
        <w:rPr>
          <w:i/>
          <w:sz w:val="24"/>
          <w:szCs w:val="24"/>
        </w:rPr>
        <w:t>: qué es lo que hace que el APP tenga este particular régimen de prestación</w:t>
      </w:r>
      <w:r>
        <w:rPr>
          <w:sz w:val="24"/>
          <w:szCs w:val="24"/>
        </w:rPr>
        <w:t>. Como veremos, esta pregunta no tiene una respuesta clara, desde el ángulo t</w:t>
      </w:r>
      <w:r w:rsidR="00B154F8">
        <w:rPr>
          <w:sz w:val="24"/>
          <w:szCs w:val="24"/>
        </w:rPr>
        <w:t>eó</w:t>
      </w:r>
      <w:r>
        <w:rPr>
          <w:sz w:val="24"/>
          <w:szCs w:val="24"/>
        </w:rPr>
        <w:t xml:space="preserve">rico. Complementariamente, se plantea la cuestión de </w:t>
      </w:r>
      <w:r w:rsidRPr="00E05DD8">
        <w:rPr>
          <w:i/>
          <w:sz w:val="24"/>
          <w:szCs w:val="24"/>
        </w:rPr>
        <w:t>si y porqué el APP debe ser subsidiado</w:t>
      </w:r>
      <w:r>
        <w:rPr>
          <w:sz w:val="24"/>
          <w:szCs w:val="24"/>
        </w:rPr>
        <w:t>; para esta pregunta, en cambio, tendremos respuestas más afinadas.</w:t>
      </w:r>
    </w:p>
    <w:p w:rsidR="0087629E" w:rsidRDefault="0087629E" w:rsidP="00E85774">
      <w:pPr>
        <w:pStyle w:val="Prrafodelista"/>
        <w:ind w:left="360"/>
        <w:jc w:val="both"/>
        <w:rPr>
          <w:sz w:val="24"/>
          <w:szCs w:val="24"/>
        </w:rPr>
      </w:pPr>
    </w:p>
    <w:p w:rsidR="0087629E" w:rsidRDefault="0087629E" w:rsidP="00E85774">
      <w:pPr>
        <w:pStyle w:val="Prrafodelista"/>
        <w:numPr>
          <w:ilvl w:val="0"/>
          <w:numId w:val="1"/>
        </w:numPr>
        <w:jc w:val="both"/>
        <w:rPr>
          <w:sz w:val="24"/>
          <w:szCs w:val="24"/>
        </w:rPr>
      </w:pPr>
      <w:r>
        <w:rPr>
          <w:sz w:val="24"/>
          <w:szCs w:val="24"/>
        </w:rPr>
        <w:t xml:space="preserve">Interesa destacar que existen dos maneras de enfocar esta cuestión. </w:t>
      </w:r>
    </w:p>
    <w:p w:rsidR="0087629E" w:rsidRDefault="0087629E" w:rsidP="00E85774">
      <w:pPr>
        <w:pStyle w:val="Prrafodelista"/>
        <w:numPr>
          <w:ilvl w:val="1"/>
          <w:numId w:val="1"/>
        </w:numPr>
        <w:jc w:val="both"/>
        <w:rPr>
          <w:sz w:val="24"/>
          <w:szCs w:val="24"/>
        </w:rPr>
      </w:pPr>
      <w:r>
        <w:rPr>
          <w:sz w:val="24"/>
          <w:szCs w:val="24"/>
        </w:rPr>
        <w:t xml:space="preserve">La primera, que podríamos definir como </w:t>
      </w:r>
      <w:r w:rsidRPr="0087629E">
        <w:rPr>
          <w:i/>
          <w:sz w:val="24"/>
          <w:szCs w:val="24"/>
        </w:rPr>
        <w:t>liberal</w:t>
      </w:r>
      <w:r>
        <w:rPr>
          <w:sz w:val="24"/>
          <w:szCs w:val="24"/>
        </w:rPr>
        <w:t xml:space="preserve">, parte del principio de que encara cualquier actividad no dañina en provecho propio es lícito; por lo tanto, el Estado no debe impedir cualquier </w:t>
      </w:r>
      <w:r w:rsidR="00515290">
        <w:rPr>
          <w:sz w:val="24"/>
          <w:szCs w:val="24"/>
        </w:rPr>
        <w:t>iniciativa particular que pretenda encarar una producción determinada y atender con ello a determinado mercado. Bajo este enfoque, la RE es una excepción, aceptable solo en la medida en que resulte justificable</w:t>
      </w:r>
      <w:r w:rsidR="00631483">
        <w:rPr>
          <w:sz w:val="24"/>
          <w:szCs w:val="24"/>
        </w:rPr>
        <w:t xml:space="preserve"> por razones fundadas.</w:t>
      </w:r>
    </w:p>
    <w:p w:rsidR="00631483" w:rsidRPr="0087629E" w:rsidRDefault="00631483" w:rsidP="00E85774">
      <w:pPr>
        <w:pStyle w:val="Prrafodelista"/>
        <w:numPr>
          <w:ilvl w:val="1"/>
          <w:numId w:val="1"/>
        </w:numPr>
        <w:jc w:val="both"/>
        <w:rPr>
          <w:sz w:val="24"/>
          <w:szCs w:val="24"/>
        </w:rPr>
      </w:pPr>
      <w:r>
        <w:rPr>
          <w:sz w:val="24"/>
          <w:szCs w:val="24"/>
        </w:rPr>
        <w:t xml:space="preserve">La segunda forma de enfocar esta cuestión puede ser denominada </w:t>
      </w:r>
      <w:r w:rsidRPr="00631483">
        <w:rPr>
          <w:i/>
          <w:sz w:val="24"/>
          <w:szCs w:val="24"/>
        </w:rPr>
        <w:t>instrumentalista</w:t>
      </w:r>
      <w:r>
        <w:rPr>
          <w:sz w:val="24"/>
          <w:szCs w:val="24"/>
        </w:rPr>
        <w:t>. En este caso, partimos de la existencia de un conjunto de requerimientos de producción que pueden ser satisfechas (no cualquier requerimiento, entonces), y buscamos la forma más eficaz de satisfacerlos, empleando indiferentemente soluciones de RE o de ML.</w:t>
      </w:r>
    </w:p>
    <w:p w:rsidR="00E05DD8" w:rsidRPr="004D091E" w:rsidRDefault="00E05DD8" w:rsidP="00E85774">
      <w:pPr>
        <w:pStyle w:val="Prrafodelista"/>
        <w:ind w:left="360"/>
        <w:jc w:val="both"/>
        <w:rPr>
          <w:sz w:val="24"/>
          <w:szCs w:val="24"/>
        </w:rPr>
      </w:pPr>
    </w:p>
    <w:p w:rsidR="00E85774" w:rsidRDefault="00631483" w:rsidP="00E85774">
      <w:pPr>
        <w:pStyle w:val="Prrafodelista"/>
        <w:numPr>
          <w:ilvl w:val="0"/>
          <w:numId w:val="1"/>
        </w:numPr>
        <w:jc w:val="both"/>
        <w:rPr>
          <w:sz w:val="24"/>
          <w:szCs w:val="24"/>
        </w:rPr>
      </w:pPr>
      <w:r>
        <w:rPr>
          <w:sz w:val="24"/>
          <w:szCs w:val="24"/>
        </w:rPr>
        <w:t xml:space="preserve">Optar por uno u otro abordaje es una cuestión ideológica y tal vez profesional. </w:t>
      </w:r>
    </w:p>
    <w:p w:rsidR="00E85774" w:rsidRDefault="00631483" w:rsidP="00E85774">
      <w:pPr>
        <w:pStyle w:val="Prrafodelista"/>
        <w:numPr>
          <w:ilvl w:val="1"/>
          <w:numId w:val="1"/>
        </w:numPr>
        <w:jc w:val="both"/>
        <w:rPr>
          <w:sz w:val="24"/>
          <w:szCs w:val="24"/>
        </w:rPr>
      </w:pPr>
      <w:r>
        <w:rPr>
          <w:sz w:val="24"/>
          <w:szCs w:val="24"/>
        </w:rPr>
        <w:t xml:space="preserve">Un </w:t>
      </w:r>
      <w:r w:rsidR="00985E30">
        <w:rPr>
          <w:sz w:val="24"/>
          <w:szCs w:val="24"/>
        </w:rPr>
        <w:t>“</w:t>
      </w:r>
      <w:r>
        <w:rPr>
          <w:sz w:val="24"/>
          <w:szCs w:val="24"/>
        </w:rPr>
        <w:t>abogado</w:t>
      </w:r>
      <w:r w:rsidR="00E85774">
        <w:rPr>
          <w:sz w:val="24"/>
          <w:szCs w:val="24"/>
        </w:rPr>
        <w:t xml:space="preserve"> liberal</w:t>
      </w:r>
      <w:r w:rsidR="00985E30">
        <w:rPr>
          <w:sz w:val="24"/>
          <w:szCs w:val="24"/>
        </w:rPr>
        <w:t>”</w:t>
      </w:r>
      <w:r>
        <w:rPr>
          <w:sz w:val="24"/>
          <w:szCs w:val="24"/>
        </w:rPr>
        <w:t xml:space="preserve">, por ejemplo, invocará el precepto </w:t>
      </w:r>
      <w:r w:rsidRPr="00631483">
        <w:rPr>
          <w:sz w:val="24"/>
          <w:szCs w:val="24"/>
        </w:rPr>
        <w:t xml:space="preserve">constitucional de que </w:t>
      </w:r>
      <w:r>
        <w:rPr>
          <w:sz w:val="24"/>
          <w:szCs w:val="24"/>
        </w:rPr>
        <w:t>t</w:t>
      </w:r>
      <w:r w:rsidRPr="00631483">
        <w:rPr>
          <w:sz w:val="24"/>
          <w:szCs w:val="24"/>
        </w:rPr>
        <w:t xml:space="preserve">odos los habitantes de la Nación gozan </w:t>
      </w:r>
      <w:r>
        <w:rPr>
          <w:sz w:val="24"/>
          <w:szCs w:val="24"/>
        </w:rPr>
        <w:t>del derecho</w:t>
      </w:r>
      <w:r w:rsidRPr="00631483">
        <w:rPr>
          <w:sz w:val="24"/>
          <w:szCs w:val="24"/>
        </w:rPr>
        <w:t xml:space="preserve"> de trabajar y ejercer toda industria </w:t>
      </w:r>
      <w:r w:rsidRPr="00631483">
        <w:rPr>
          <w:sz w:val="24"/>
          <w:szCs w:val="24"/>
        </w:rPr>
        <w:lastRenderedPageBreak/>
        <w:t>lícita</w:t>
      </w:r>
      <w:r>
        <w:rPr>
          <w:sz w:val="24"/>
          <w:szCs w:val="24"/>
        </w:rPr>
        <w:t xml:space="preserve">. Esto implica darle jerarquía constitucional al principio de ML, y relegar entonces los casos de RE al lugar de las excepciones. </w:t>
      </w:r>
    </w:p>
    <w:p w:rsidR="00E85774" w:rsidRDefault="00E85774" w:rsidP="00E85774">
      <w:pPr>
        <w:pStyle w:val="Prrafodelista"/>
        <w:numPr>
          <w:ilvl w:val="1"/>
          <w:numId w:val="1"/>
        </w:numPr>
        <w:jc w:val="both"/>
        <w:rPr>
          <w:sz w:val="24"/>
          <w:szCs w:val="24"/>
        </w:rPr>
      </w:pPr>
      <w:r>
        <w:rPr>
          <w:sz w:val="24"/>
          <w:szCs w:val="24"/>
        </w:rPr>
        <w:t>El</w:t>
      </w:r>
      <w:r w:rsidR="00631483">
        <w:rPr>
          <w:sz w:val="24"/>
          <w:szCs w:val="24"/>
        </w:rPr>
        <w:t xml:space="preserve"> </w:t>
      </w:r>
      <w:r w:rsidR="00985E30">
        <w:rPr>
          <w:sz w:val="24"/>
          <w:szCs w:val="24"/>
        </w:rPr>
        <w:t>“</w:t>
      </w:r>
      <w:r w:rsidR="00631483">
        <w:rPr>
          <w:sz w:val="24"/>
          <w:szCs w:val="24"/>
        </w:rPr>
        <w:t>economista ortodoxo</w:t>
      </w:r>
      <w:r w:rsidR="00985E30">
        <w:rPr>
          <w:sz w:val="24"/>
          <w:szCs w:val="24"/>
        </w:rPr>
        <w:t>”</w:t>
      </w:r>
      <w:r w:rsidR="00631483">
        <w:rPr>
          <w:sz w:val="24"/>
          <w:szCs w:val="24"/>
        </w:rPr>
        <w:t xml:space="preserve"> subordina el derecho al análisis económico; de hecho, buena parte de sus análisis prescinden de cualquier referencia a normas legales. Pero su enfoque teórico toma al mercado como forma “primigenia”; la organización a través del ML es entonces la forma “natural” de hacer las cosas, y la RE es nuevamente un caso excepcional.</w:t>
      </w:r>
      <w:r>
        <w:rPr>
          <w:sz w:val="24"/>
          <w:szCs w:val="24"/>
        </w:rPr>
        <w:t xml:space="preserve"> El abordaje del economista ortodoxo es entonces instrumentalista, pero da precedencia al caso del ML. </w:t>
      </w:r>
    </w:p>
    <w:p w:rsidR="00E85774" w:rsidRDefault="00E85774" w:rsidP="00E85774">
      <w:pPr>
        <w:pStyle w:val="Prrafodelista"/>
        <w:numPr>
          <w:ilvl w:val="1"/>
          <w:numId w:val="1"/>
        </w:numPr>
        <w:jc w:val="both"/>
        <w:rPr>
          <w:sz w:val="24"/>
          <w:szCs w:val="24"/>
        </w:rPr>
      </w:pPr>
      <w:r>
        <w:rPr>
          <w:sz w:val="24"/>
          <w:szCs w:val="24"/>
        </w:rPr>
        <w:t xml:space="preserve">El </w:t>
      </w:r>
      <w:r w:rsidR="00985E30">
        <w:rPr>
          <w:sz w:val="24"/>
          <w:szCs w:val="24"/>
        </w:rPr>
        <w:t>“</w:t>
      </w:r>
      <w:r>
        <w:rPr>
          <w:sz w:val="24"/>
          <w:szCs w:val="24"/>
        </w:rPr>
        <w:t>economista no ortodoxo</w:t>
      </w:r>
      <w:r w:rsidR="00985E30">
        <w:rPr>
          <w:sz w:val="24"/>
          <w:szCs w:val="24"/>
        </w:rPr>
        <w:t>”</w:t>
      </w:r>
      <w:r>
        <w:rPr>
          <w:sz w:val="24"/>
          <w:szCs w:val="24"/>
        </w:rPr>
        <w:t xml:space="preserve"> adopta en cambio una perspectiva más bien neutra con relación a la opción entre RE y ML, y trata de sopesar opciones en cada caso particular, renunciando de antemano a alguna postura en principio favorable a uno u otro</w:t>
      </w:r>
      <w:r w:rsidR="008E34DD">
        <w:rPr>
          <w:sz w:val="24"/>
          <w:szCs w:val="24"/>
        </w:rPr>
        <w:t xml:space="preserve"> extremo.</w:t>
      </w:r>
      <w:r w:rsidR="0024027C">
        <w:rPr>
          <w:sz w:val="24"/>
          <w:szCs w:val="24"/>
        </w:rPr>
        <w:t xml:space="preserve"> Se trata entonces de un abordaje claramente instrumentalista.</w:t>
      </w:r>
    </w:p>
    <w:p w:rsidR="00631483" w:rsidRPr="00E85774" w:rsidRDefault="00E85774" w:rsidP="00E85774">
      <w:pPr>
        <w:ind w:left="360"/>
        <w:jc w:val="both"/>
        <w:rPr>
          <w:sz w:val="24"/>
          <w:szCs w:val="24"/>
        </w:rPr>
      </w:pPr>
      <w:r>
        <w:rPr>
          <w:sz w:val="24"/>
          <w:szCs w:val="24"/>
        </w:rPr>
        <w:t>Economistas ortodoxos y abogados liberales c</w:t>
      </w:r>
      <w:r w:rsidRPr="00E85774">
        <w:rPr>
          <w:sz w:val="24"/>
          <w:szCs w:val="24"/>
        </w:rPr>
        <w:t>oincide</w:t>
      </w:r>
      <w:r>
        <w:rPr>
          <w:sz w:val="24"/>
          <w:szCs w:val="24"/>
        </w:rPr>
        <w:t>n</w:t>
      </w:r>
      <w:r w:rsidRPr="00E85774">
        <w:rPr>
          <w:sz w:val="24"/>
          <w:szCs w:val="24"/>
        </w:rPr>
        <w:t xml:space="preserve"> entonces con el abogado, en que la RE debe se</w:t>
      </w:r>
      <w:r w:rsidR="0024027C">
        <w:rPr>
          <w:sz w:val="24"/>
          <w:szCs w:val="24"/>
        </w:rPr>
        <w:t>r debidamente justificada, frente a la opción del ML. El economista no ortodoxo</w:t>
      </w:r>
    </w:p>
    <w:p w:rsidR="00631483" w:rsidRDefault="00631483" w:rsidP="00E85774">
      <w:pPr>
        <w:pStyle w:val="Prrafodelista"/>
        <w:ind w:left="360"/>
        <w:jc w:val="both"/>
        <w:rPr>
          <w:sz w:val="24"/>
          <w:szCs w:val="24"/>
        </w:rPr>
      </w:pPr>
    </w:p>
    <w:p w:rsidR="00E85774" w:rsidRDefault="00E85774" w:rsidP="00E85774">
      <w:pPr>
        <w:pStyle w:val="Prrafodelista"/>
        <w:numPr>
          <w:ilvl w:val="0"/>
          <w:numId w:val="1"/>
        </w:numPr>
        <w:jc w:val="both"/>
        <w:rPr>
          <w:sz w:val="24"/>
          <w:szCs w:val="24"/>
        </w:rPr>
      </w:pPr>
      <w:r>
        <w:rPr>
          <w:sz w:val="24"/>
          <w:szCs w:val="24"/>
        </w:rPr>
        <w:t>Para ilustrar el razonamiento anterior en el caso del APP, podemos decir lo siguiente. El abogado se preguntará porqué se infringe el principio constitucional que da derecho a desarrollar cualquier actividad lícita, al limitarse la entrada de prestadores al servicio de transporte; buscará entonces la respuesta en que un arreglo de tipo ML traería un daño superior al que implica la violación al citado principio constitucional. El economista ortodoxo justificará en cambio el abandono del principio del ML en función de que el arreglo basado en la RE resultará más eficiente.</w:t>
      </w:r>
      <w:r w:rsidR="00A35F42">
        <w:rPr>
          <w:sz w:val="24"/>
          <w:szCs w:val="24"/>
        </w:rPr>
        <w:t xml:space="preserve"> El economista no ortodoxo analizará si realmente el ML hace falta, o si en cambio la RE será preferible.</w:t>
      </w:r>
    </w:p>
    <w:p w:rsidR="00E85774" w:rsidRDefault="00E85774" w:rsidP="00E85774">
      <w:pPr>
        <w:pStyle w:val="Prrafodelista"/>
        <w:ind w:left="360"/>
        <w:jc w:val="both"/>
        <w:rPr>
          <w:sz w:val="24"/>
          <w:szCs w:val="24"/>
        </w:rPr>
      </w:pPr>
    </w:p>
    <w:p w:rsidR="00E85774" w:rsidRPr="00E85774" w:rsidRDefault="00E85774" w:rsidP="00E85774">
      <w:pPr>
        <w:pStyle w:val="Prrafodelista"/>
        <w:numPr>
          <w:ilvl w:val="0"/>
          <w:numId w:val="1"/>
        </w:numPr>
        <w:jc w:val="both"/>
        <w:rPr>
          <w:sz w:val="24"/>
          <w:szCs w:val="24"/>
        </w:rPr>
      </w:pPr>
      <w:r>
        <w:rPr>
          <w:sz w:val="24"/>
          <w:szCs w:val="24"/>
        </w:rPr>
        <w:t xml:space="preserve">En este trabajo, adoptamos una perspectiva de “economista instrumentalista”. Esto significa que no tenemos una postura en favor del ML por </w:t>
      </w:r>
      <w:proofErr w:type="spellStart"/>
      <w:r>
        <w:rPr>
          <w:sz w:val="24"/>
          <w:szCs w:val="24"/>
        </w:rPr>
        <w:t>si</w:t>
      </w:r>
      <w:proofErr w:type="spellEnd"/>
      <w:r>
        <w:rPr>
          <w:sz w:val="24"/>
          <w:szCs w:val="24"/>
        </w:rPr>
        <w:t xml:space="preserve"> mismo. Se trata más bien de ver qué podemos esperar de diferentes marcos regulatorios para el APP. Esta perspectiva no es radicalmente diferente de la del economista ortodoxo</w:t>
      </w:r>
      <w:r w:rsidR="00A35F42">
        <w:rPr>
          <w:sz w:val="24"/>
          <w:szCs w:val="24"/>
        </w:rPr>
        <w:t>, en la práctica; pero un punto de vista más “neutro” parece ser más adecuado, por cuanto obliga a ver todos los aspectos (y no “dejar al mercado” todo aquello sobre lo que no tomamos alguna decisión acerca de qué hacer).</w:t>
      </w:r>
    </w:p>
    <w:p w:rsidR="00E85774" w:rsidRPr="00E85774" w:rsidRDefault="00E85774" w:rsidP="00E85774">
      <w:pPr>
        <w:pStyle w:val="Prrafodelista"/>
        <w:jc w:val="both"/>
        <w:rPr>
          <w:sz w:val="24"/>
          <w:szCs w:val="24"/>
        </w:rPr>
      </w:pPr>
    </w:p>
    <w:p w:rsidR="00563E8B" w:rsidRDefault="00A35F42" w:rsidP="00E85774">
      <w:pPr>
        <w:pStyle w:val="Prrafodelista"/>
        <w:numPr>
          <w:ilvl w:val="0"/>
          <w:numId w:val="1"/>
        </w:numPr>
        <w:jc w:val="both"/>
        <w:rPr>
          <w:sz w:val="24"/>
          <w:szCs w:val="24"/>
        </w:rPr>
      </w:pPr>
      <w:r>
        <w:rPr>
          <w:sz w:val="24"/>
          <w:szCs w:val="24"/>
        </w:rPr>
        <w:t>R</w:t>
      </w:r>
      <w:r w:rsidR="002E5FA7">
        <w:rPr>
          <w:sz w:val="24"/>
          <w:szCs w:val="24"/>
        </w:rPr>
        <w:t xml:space="preserve">esponder a </w:t>
      </w:r>
      <w:r>
        <w:rPr>
          <w:sz w:val="24"/>
          <w:szCs w:val="24"/>
        </w:rPr>
        <w:t>l</w:t>
      </w:r>
      <w:r w:rsidR="002E5FA7">
        <w:rPr>
          <w:sz w:val="24"/>
          <w:szCs w:val="24"/>
        </w:rPr>
        <w:t>a pregunta</w:t>
      </w:r>
      <w:r>
        <w:rPr>
          <w:sz w:val="24"/>
          <w:szCs w:val="24"/>
        </w:rPr>
        <w:t xml:space="preserve"> de </w:t>
      </w:r>
      <w:proofErr w:type="spellStart"/>
      <w:r>
        <w:rPr>
          <w:sz w:val="24"/>
          <w:szCs w:val="24"/>
        </w:rPr>
        <w:t>porqué</w:t>
      </w:r>
      <w:proofErr w:type="spellEnd"/>
      <w:r>
        <w:rPr>
          <w:sz w:val="24"/>
          <w:szCs w:val="24"/>
        </w:rPr>
        <w:t xml:space="preserve"> el APP adopta un marco propio de la RE</w:t>
      </w:r>
      <w:r w:rsidR="002E5FA7">
        <w:rPr>
          <w:sz w:val="24"/>
          <w:szCs w:val="24"/>
        </w:rPr>
        <w:t xml:space="preserve">, debemos preguntarnos por </w:t>
      </w:r>
      <w:r w:rsidR="00E05DD8">
        <w:rPr>
          <w:sz w:val="24"/>
          <w:szCs w:val="24"/>
        </w:rPr>
        <w:t xml:space="preserve">las razones por las que se aduce que se requiere un régimen de </w:t>
      </w:r>
      <w:r>
        <w:rPr>
          <w:sz w:val="24"/>
          <w:szCs w:val="24"/>
        </w:rPr>
        <w:t>este tipo</w:t>
      </w:r>
      <w:r w:rsidR="002E5FA7">
        <w:rPr>
          <w:sz w:val="24"/>
          <w:szCs w:val="24"/>
        </w:rPr>
        <w:t>.</w:t>
      </w:r>
      <w:r w:rsidR="00E05DD8">
        <w:rPr>
          <w:sz w:val="24"/>
          <w:szCs w:val="24"/>
        </w:rPr>
        <w:t xml:space="preserve"> Hay dos argumentos</w:t>
      </w:r>
      <w:r>
        <w:rPr>
          <w:sz w:val="24"/>
          <w:szCs w:val="24"/>
        </w:rPr>
        <w:t xml:space="preserve"> usuales</w:t>
      </w:r>
      <w:r w:rsidR="00E05DD8">
        <w:rPr>
          <w:sz w:val="24"/>
          <w:szCs w:val="24"/>
        </w:rPr>
        <w:t>: (a) existencia de economías de escala, que justifican que exista un solo oferente; (</w:t>
      </w:r>
      <w:r w:rsidR="00BB4441">
        <w:rPr>
          <w:sz w:val="24"/>
          <w:szCs w:val="24"/>
        </w:rPr>
        <w:t>b</w:t>
      </w:r>
      <w:r w:rsidR="00E05DD8">
        <w:rPr>
          <w:sz w:val="24"/>
          <w:szCs w:val="24"/>
        </w:rPr>
        <w:t xml:space="preserve">) evitar </w:t>
      </w:r>
      <w:r w:rsidR="00BB4441">
        <w:rPr>
          <w:sz w:val="24"/>
          <w:szCs w:val="24"/>
        </w:rPr>
        <w:t>situaciones de inestabilidad y</w:t>
      </w:r>
      <w:r w:rsidR="00E05DD8">
        <w:rPr>
          <w:sz w:val="24"/>
          <w:szCs w:val="24"/>
        </w:rPr>
        <w:t xml:space="preserve"> competencia ruinosa.</w:t>
      </w:r>
      <w:r w:rsidR="00A57941">
        <w:rPr>
          <w:sz w:val="24"/>
          <w:szCs w:val="24"/>
        </w:rPr>
        <w:t xml:space="preserve"> Vemos cada tópico por separado.</w:t>
      </w:r>
    </w:p>
    <w:p w:rsidR="00E05DD8" w:rsidRPr="00E05DD8" w:rsidRDefault="00E05DD8" w:rsidP="00E85774">
      <w:pPr>
        <w:pStyle w:val="Prrafodelista"/>
        <w:jc w:val="both"/>
        <w:rPr>
          <w:sz w:val="24"/>
          <w:szCs w:val="24"/>
        </w:rPr>
      </w:pPr>
    </w:p>
    <w:p w:rsidR="00E05DD8" w:rsidRDefault="00DE072B" w:rsidP="00E85774">
      <w:pPr>
        <w:pStyle w:val="Prrafodelista"/>
        <w:numPr>
          <w:ilvl w:val="0"/>
          <w:numId w:val="1"/>
        </w:numPr>
        <w:jc w:val="both"/>
        <w:rPr>
          <w:sz w:val="24"/>
          <w:szCs w:val="24"/>
        </w:rPr>
      </w:pPr>
      <w:r>
        <w:rPr>
          <w:sz w:val="24"/>
          <w:szCs w:val="24"/>
        </w:rPr>
        <w:t xml:space="preserve">Las </w:t>
      </w:r>
      <w:r w:rsidRPr="00974A63">
        <w:rPr>
          <w:i/>
          <w:sz w:val="24"/>
          <w:szCs w:val="24"/>
        </w:rPr>
        <w:t>economías de escala</w:t>
      </w:r>
      <w:r>
        <w:rPr>
          <w:sz w:val="24"/>
          <w:szCs w:val="24"/>
        </w:rPr>
        <w:t xml:space="preserve"> existen siempre que sea más económico concentrar la oferta de un bien o servicio en un único agente. Se trata de un concepto de largo plazo, en el sentido de que deben computarse todos los costos relevantes, incluyendo los de provisión de capacidad. Las redes de distribución eléctrica</w:t>
      </w:r>
      <w:r w:rsidR="00A35F42">
        <w:rPr>
          <w:sz w:val="24"/>
          <w:szCs w:val="24"/>
        </w:rPr>
        <w:t xml:space="preserve"> y de gas</w:t>
      </w:r>
      <w:r>
        <w:rPr>
          <w:sz w:val="24"/>
          <w:szCs w:val="24"/>
        </w:rPr>
        <w:t xml:space="preserve"> son consideradas un ejemplo típico de economías de escala, por cuanto la construcción en paralelo de dos o más redes superpuestas en una misma área será siempre más cara que la construcción de una red única. Cuando ocurre esto, y si las economías que se obtienen por unificar la prestación son realmente importantes hay dos razones concomitantes para establecer un régimen de RE:</w:t>
      </w:r>
    </w:p>
    <w:p w:rsidR="00DE072B" w:rsidRDefault="00DE072B" w:rsidP="00A35F42">
      <w:pPr>
        <w:pStyle w:val="Prrafodelista"/>
        <w:numPr>
          <w:ilvl w:val="1"/>
          <w:numId w:val="1"/>
        </w:numPr>
        <w:ind w:left="709"/>
        <w:jc w:val="both"/>
        <w:rPr>
          <w:sz w:val="24"/>
          <w:szCs w:val="24"/>
        </w:rPr>
      </w:pPr>
      <w:r>
        <w:rPr>
          <w:sz w:val="24"/>
          <w:szCs w:val="24"/>
        </w:rPr>
        <w:t xml:space="preserve">Es posible que el propio movimiento de los oferentes </w:t>
      </w:r>
      <w:r w:rsidRPr="00974A63">
        <w:rPr>
          <w:i/>
          <w:sz w:val="24"/>
          <w:szCs w:val="24"/>
        </w:rPr>
        <w:t>desemboque en una configuración monopólica</w:t>
      </w:r>
      <w:r>
        <w:rPr>
          <w:sz w:val="24"/>
          <w:szCs w:val="24"/>
        </w:rPr>
        <w:t xml:space="preserve">. Este caso de monopolización espontánea es conocido en la literatura económica como “monopolio natural”. El monopolio </w:t>
      </w:r>
      <w:r w:rsidR="00974A63">
        <w:rPr>
          <w:sz w:val="24"/>
          <w:szCs w:val="24"/>
        </w:rPr>
        <w:t xml:space="preserve">sin regulación </w:t>
      </w:r>
      <w:r>
        <w:rPr>
          <w:sz w:val="24"/>
          <w:szCs w:val="24"/>
        </w:rPr>
        <w:t>es fuente de una serie de ineficiencias (implica cobrar un precio más alto y por lo tanto restringir la demanda; implica un bajo incentivo a la innovación), y por lo tanto no puede ser dejado librado a las “fuerzas del mercado”.</w:t>
      </w:r>
    </w:p>
    <w:p w:rsidR="00DE072B" w:rsidRDefault="00DE072B" w:rsidP="00A35F42">
      <w:pPr>
        <w:pStyle w:val="Prrafodelista"/>
        <w:numPr>
          <w:ilvl w:val="1"/>
          <w:numId w:val="1"/>
        </w:numPr>
        <w:ind w:left="709"/>
        <w:jc w:val="both"/>
        <w:rPr>
          <w:sz w:val="24"/>
          <w:szCs w:val="24"/>
        </w:rPr>
      </w:pPr>
      <w:r w:rsidRPr="00974A63">
        <w:rPr>
          <w:i/>
          <w:sz w:val="24"/>
          <w:szCs w:val="24"/>
        </w:rPr>
        <w:t>Es deseable que la oferta se concentre</w:t>
      </w:r>
      <w:r>
        <w:rPr>
          <w:sz w:val="24"/>
          <w:szCs w:val="24"/>
        </w:rPr>
        <w:t xml:space="preserve">, a fin de lograr efectivamente las </w:t>
      </w:r>
      <w:r w:rsidR="00974A63">
        <w:rPr>
          <w:sz w:val="24"/>
          <w:szCs w:val="24"/>
        </w:rPr>
        <w:t>reducciones</w:t>
      </w:r>
      <w:r>
        <w:rPr>
          <w:sz w:val="24"/>
          <w:szCs w:val="24"/>
        </w:rPr>
        <w:t xml:space="preserve"> de costo que permiten las economías </w:t>
      </w:r>
      <w:r w:rsidR="00974A63">
        <w:rPr>
          <w:sz w:val="24"/>
          <w:szCs w:val="24"/>
        </w:rPr>
        <w:t>de escala.</w:t>
      </w:r>
      <w:r w:rsidR="00EC450F">
        <w:rPr>
          <w:sz w:val="24"/>
          <w:szCs w:val="24"/>
        </w:rPr>
        <w:t xml:space="preserve"> Pero esto demanda desde ya regulación.</w:t>
      </w:r>
    </w:p>
    <w:p w:rsidR="00974A63" w:rsidRDefault="00974A63" w:rsidP="00E85774">
      <w:pPr>
        <w:pStyle w:val="Prrafodelista"/>
        <w:ind w:left="360"/>
        <w:jc w:val="both"/>
        <w:rPr>
          <w:sz w:val="24"/>
          <w:szCs w:val="24"/>
        </w:rPr>
      </w:pPr>
    </w:p>
    <w:p w:rsidR="00974A63" w:rsidRDefault="00974A63" w:rsidP="00E85774">
      <w:pPr>
        <w:pStyle w:val="Prrafodelista"/>
        <w:numPr>
          <w:ilvl w:val="0"/>
          <w:numId w:val="1"/>
        </w:numPr>
        <w:jc w:val="both"/>
        <w:rPr>
          <w:sz w:val="24"/>
          <w:szCs w:val="24"/>
        </w:rPr>
      </w:pPr>
      <w:r>
        <w:rPr>
          <w:sz w:val="24"/>
          <w:szCs w:val="24"/>
        </w:rPr>
        <w:t>En consecuencia, la configuración de oferta que se considera más conveniente, en presencia de economías de escala, es la del monopolio sujeto a RE.</w:t>
      </w:r>
    </w:p>
    <w:p w:rsidR="00974A63" w:rsidRDefault="00974A63" w:rsidP="00E85774">
      <w:pPr>
        <w:pStyle w:val="Prrafodelista"/>
        <w:ind w:left="360"/>
        <w:jc w:val="both"/>
        <w:rPr>
          <w:sz w:val="24"/>
          <w:szCs w:val="24"/>
        </w:rPr>
      </w:pPr>
    </w:p>
    <w:p w:rsidR="00974A63" w:rsidRDefault="00974A63" w:rsidP="00E85774">
      <w:pPr>
        <w:pStyle w:val="Prrafodelista"/>
        <w:numPr>
          <w:ilvl w:val="0"/>
          <w:numId w:val="1"/>
        </w:numPr>
        <w:jc w:val="both"/>
        <w:rPr>
          <w:sz w:val="24"/>
          <w:szCs w:val="24"/>
        </w:rPr>
      </w:pPr>
      <w:r>
        <w:rPr>
          <w:sz w:val="24"/>
          <w:szCs w:val="24"/>
        </w:rPr>
        <w:t xml:space="preserve">La posibilidad de </w:t>
      </w:r>
      <w:r w:rsidR="00BB4441">
        <w:rPr>
          <w:sz w:val="24"/>
          <w:szCs w:val="24"/>
        </w:rPr>
        <w:t xml:space="preserve"> inestabilidad y </w:t>
      </w:r>
      <w:r>
        <w:rPr>
          <w:sz w:val="24"/>
          <w:szCs w:val="24"/>
        </w:rPr>
        <w:t>competencia ruinosa no tiene una explicación clara. Se trata más bien de un fenómeno que se observa, en particular en el sector transporte; esto ocurr</w:t>
      </w:r>
      <w:r w:rsidR="004B253D">
        <w:rPr>
          <w:sz w:val="24"/>
          <w:szCs w:val="24"/>
        </w:rPr>
        <w:t>e</w:t>
      </w:r>
      <w:r>
        <w:rPr>
          <w:sz w:val="24"/>
          <w:szCs w:val="24"/>
        </w:rPr>
        <w:t xml:space="preserve"> periódicamente en transporte aéreo, ha ocurrido en la Argentina en oportunidad de la desregulación del autotransporte interurbano de pasajeros</w:t>
      </w:r>
      <w:r w:rsidR="004B253D">
        <w:rPr>
          <w:sz w:val="24"/>
          <w:szCs w:val="24"/>
        </w:rPr>
        <w:t>, y pu</w:t>
      </w:r>
      <w:r w:rsidR="00EC450F">
        <w:rPr>
          <w:sz w:val="24"/>
          <w:szCs w:val="24"/>
        </w:rPr>
        <w:t>do</w:t>
      </w:r>
      <w:r w:rsidR="004B253D">
        <w:rPr>
          <w:sz w:val="24"/>
          <w:szCs w:val="24"/>
        </w:rPr>
        <w:t xml:space="preserve"> ser observada en determinados contextos en transporte urbano (aunque no en Argentina)</w:t>
      </w:r>
      <w:r>
        <w:rPr>
          <w:sz w:val="24"/>
          <w:szCs w:val="24"/>
        </w:rPr>
        <w:t>.</w:t>
      </w:r>
      <w:r w:rsidR="00C96D46">
        <w:rPr>
          <w:sz w:val="24"/>
          <w:szCs w:val="24"/>
        </w:rPr>
        <w:t xml:space="preserve"> No hay en este punto consenso acerca de si la RE debe ser </w:t>
      </w:r>
      <w:proofErr w:type="gramStart"/>
      <w:r w:rsidR="00C96D46">
        <w:rPr>
          <w:sz w:val="24"/>
          <w:szCs w:val="24"/>
        </w:rPr>
        <w:t>aplicada</w:t>
      </w:r>
      <w:proofErr w:type="gramEnd"/>
      <w:r w:rsidR="00C96D46">
        <w:rPr>
          <w:sz w:val="24"/>
          <w:szCs w:val="24"/>
        </w:rPr>
        <w:t xml:space="preserve">, por dos razones. Por un lado, situaciones iguales de oferta pueden dar lugar o no a competencia ruinosa; por el otro, hay </w:t>
      </w:r>
      <w:proofErr w:type="spellStart"/>
      <w:r w:rsidR="00C96D46">
        <w:rPr>
          <w:sz w:val="24"/>
          <w:szCs w:val="24"/>
        </w:rPr>
        <w:t>qui</w:t>
      </w:r>
      <w:r w:rsidR="00BB4441">
        <w:rPr>
          <w:sz w:val="24"/>
          <w:szCs w:val="24"/>
        </w:rPr>
        <w:t>é</w:t>
      </w:r>
      <w:r w:rsidR="00C96D46">
        <w:rPr>
          <w:sz w:val="24"/>
          <w:szCs w:val="24"/>
        </w:rPr>
        <w:t>nes</w:t>
      </w:r>
      <w:proofErr w:type="spellEnd"/>
      <w:r w:rsidR="00C96D46">
        <w:rPr>
          <w:sz w:val="24"/>
          <w:szCs w:val="24"/>
        </w:rPr>
        <w:t xml:space="preserve"> sostienen que toda competencia es buena, y por lo tanto no debe ser limitada en su alcance.</w:t>
      </w:r>
      <w:r w:rsidR="00EC450F">
        <w:rPr>
          <w:sz w:val="24"/>
          <w:szCs w:val="24"/>
        </w:rPr>
        <w:t xml:space="preserve"> Éste último enfoque es más propio del economista ortodoxo que del economista instrumentalista.</w:t>
      </w:r>
    </w:p>
    <w:p w:rsidR="00E76CB0" w:rsidRPr="00E76CB0" w:rsidRDefault="00E76CB0" w:rsidP="00E85774">
      <w:pPr>
        <w:pStyle w:val="Prrafodelista"/>
        <w:jc w:val="both"/>
        <w:rPr>
          <w:sz w:val="24"/>
          <w:szCs w:val="24"/>
        </w:rPr>
      </w:pPr>
    </w:p>
    <w:p w:rsidR="00B072FD" w:rsidRPr="008B3FAF" w:rsidRDefault="00E76CB0" w:rsidP="00E85774">
      <w:pPr>
        <w:pStyle w:val="Prrafodelista"/>
        <w:numPr>
          <w:ilvl w:val="0"/>
          <w:numId w:val="1"/>
        </w:numPr>
        <w:jc w:val="both"/>
        <w:rPr>
          <w:sz w:val="24"/>
          <w:szCs w:val="24"/>
        </w:rPr>
      </w:pPr>
      <w:r w:rsidRPr="008B3FAF">
        <w:rPr>
          <w:sz w:val="24"/>
          <w:szCs w:val="24"/>
        </w:rPr>
        <w:t>¿Son aplicables en el caso del APP estos argumentos que favorecen un marco regulado? Respecto de las eventuales economías de escala, la práctica es bastante taxativa</w:t>
      </w:r>
      <w:r w:rsidR="008B3FAF" w:rsidRPr="008B3FAF">
        <w:rPr>
          <w:sz w:val="24"/>
          <w:szCs w:val="24"/>
        </w:rPr>
        <w:t>:</w:t>
      </w:r>
      <w:r w:rsidRPr="008B3FAF">
        <w:rPr>
          <w:sz w:val="24"/>
          <w:szCs w:val="24"/>
        </w:rPr>
        <w:t xml:space="preserve"> </w:t>
      </w:r>
      <w:r w:rsidRPr="008B3FAF">
        <w:rPr>
          <w:i/>
          <w:sz w:val="24"/>
          <w:szCs w:val="24"/>
        </w:rPr>
        <w:t>no hay economías de escala relevantes</w:t>
      </w:r>
      <w:r w:rsidRPr="008B3FAF">
        <w:rPr>
          <w:sz w:val="24"/>
          <w:szCs w:val="24"/>
        </w:rPr>
        <w:t xml:space="preserve">. </w:t>
      </w:r>
      <w:r w:rsidR="00214B71" w:rsidRPr="008B3FAF">
        <w:rPr>
          <w:sz w:val="24"/>
          <w:szCs w:val="24"/>
        </w:rPr>
        <w:t>Esto ocurre simplemente porque el grueso del costo del servicio está en función de la cantidad de vehículos y conductores en servicio</w:t>
      </w:r>
      <w:r w:rsidR="008B3FAF" w:rsidRPr="008B3FAF">
        <w:rPr>
          <w:sz w:val="24"/>
          <w:szCs w:val="24"/>
        </w:rPr>
        <w:t>; un mayor volumen de servicio precisa más parque y conductores en niveles proporcionales, no decrecientes</w:t>
      </w:r>
      <w:r w:rsidR="00214B71" w:rsidRPr="008B3FAF">
        <w:rPr>
          <w:sz w:val="24"/>
          <w:szCs w:val="24"/>
        </w:rPr>
        <w:t>. Esto requiere supera</w:t>
      </w:r>
      <w:r w:rsidR="008B3FAF" w:rsidRPr="008B3FAF">
        <w:rPr>
          <w:sz w:val="24"/>
          <w:szCs w:val="24"/>
        </w:rPr>
        <w:t>r</w:t>
      </w:r>
      <w:r w:rsidR="00214B71" w:rsidRPr="008B3FAF">
        <w:rPr>
          <w:sz w:val="24"/>
          <w:szCs w:val="24"/>
        </w:rPr>
        <w:t xml:space="preserve"> un umbral mínimo,</w:t>
      </w:r>
      <w:r w:rsidR="008B3FAF" w:rsidRPr="008B3FAF">
        <w:rPr>
          <w:sz w:val="24"/>
          <w:szCs w:val="24"/>
        </w:rPr>
        <w:t xml:space="preserve"> sin embargo, en función de que es </w:t>
      </w:r>
      <w:r w:rsidR="008B3FAF" w:rsidRPr="008B3FAF">
        <w:rPr>
          <w:sz w:val="24"/>
          <w:szCs w:val="24"/>
        </w:rPr>
        <w:lastRenderedPageBreak/>
        <w:t>necesario contar con parque de reserva:</w:t>
      </w:r>
      <w:r w:rsidR="00214B71" w:rsidRPr="008B3FAF">
        <w:rPr>
          <w:sz w:val="24"/>
          <w:szCs w:val="24"/>
        </w:rPr>
        <w:t xml:space="preserve"> </w:t>
      </w:r>
      <w:r w:rsidRPr="008B3FAF">
        <w:rPr>
          <w:sz w:val="24"/>
          <w:szCs w:val="24"/>
        </w:rPr>
        <w:t xml:space="preserve">deberá disponerse de por lo menos un vehículo de reserva por turno. Si la tasa de </w:t>
      </w:r>
      <w:r w:rsidR="008B3FAF" w:rsidRPr="008B3FAF">
        <w:rPr>
          <w:sz w:val="24"/>
          <w:szCs w:val="24"/>
        </w:rPr>
        <w:t xml:space="preserve">fallas </w:t>
      </w:r>
      <w:r w:rsidRPr="008B3FAF">
        <w:rPr>
          <w:sz w:val="24"/>
          <w:szCs w:val="24"/>
        </w:rPr>
        <w:t xml:space="preserve">fuera 10%, esto implica que habrá un </w:t>
      </w:r>
      <w:r w:rsidR="008B3FAF" w:rsidRPr="008B3FAF">
        <w:rPr>
          <w:sz w:val="24"/>
          <w:szCs w:val="24"/>
        </w:rPr>
        <w:t xml:space="preserve">vehículo </w:t>
      </w:r>
      <w:r w:rsidRPr="008B3FAF">
        <w:rPr>
          <w:sz w:val="24"/>
          <w:szCs w:val="24"/>
        </w:rPr>
        <w:t xml:space="preserve">de reserva cada 10 </w:t>
      </w:r>
      <w:r w:rsidR="008B3FAF" w:rsidRPr="008B3FAF">
        <w:rPr>
          <w:sz w:val="24"/>
          <w:szCs w:val="24"/>
        </w:rPr>
        <w:t>vehículos</w:t>
      </w:r>
      <w:r w:rsidRPr="008B3FAF">
        <w:rPr>
          <w:sz w:val="24"/>
          <w:szCs w:val="24"/>
        </w:rPr>
        <w:t xml:space="preserve">. Si el </w:t>
      </w:r>
      <w:r w:rsidR="008B3FAF" w:rsidRPr="008B3FAF">
        <w:rPr>
          <w:sz w:val="24"/>
          <w:szCs w:val="24"/>
        </w:rPr>
        <w:t>prestador operara menos de</w:t>
      </w:r>
      <w:r w:rsidRPr="008B3FAF">
        <w:rPr>
          <w:sz w:val="24"/>
          <w:szCs w:val="24"/>
        </w:rPr>
        <w:t xml:space="preserve"> </w:t>
      </w:r>
      <w:r w:rsidR="008B3FAF" w:rsidRPr="008B3FAF">
        <w:rPr>
          <w:sz w:val="24"/>
          <w:szCs w:val="24"/>
        </w:rPr>
        <w:t xml:space="preserve">10 </w:t>
      </w:r>
      <w:r w:rsidRPr="008B3FAF">
        <w:rPr>
          <w:sz w:val="24"/>
          <w:szCs w:val="24"/>
        </w:rPr>
        <w:t xml:space="preserve">coches, el peso del </w:t>
      </w:r>
      <w:r w:rsidR="008B3FAF" w:rsidRPr="008B3FAF">
        <w:rPr>
          <w:sz w:val="24"/>
          <w:szCs w:val="24"/>
        </w:rPr>
        <w:t>vehículo</w:t>
      </w:r>
      <w:r w:rsidRPr="008B3FAF">
        <w:rPr>
          <w:sz w:val="24"/>
          <w:szCs w:val="24"/>
        </w:rPr>
        <w:t xml:space="preserve"> de reserva sería desproporcionalmente alto</w:t>
      </w:r>
      <w:r w:rsidR="008B3FAF" w:rsidRPr="008B3FAF">
        <w:rPr>
          <w:sz w:val="24"/>
          <w:szCs w:val="24"/>
        </w:rPr>
        <w:t>, como puede verse en el gráfico siguiente</w:t>
      </w:r>
      <w:r w:rsidRPr="008B3FAF">
        <w:rPr>
          <w:sz w:val="24"/>
          <w:szCs w:val="24"/>
        </w:rPr>
        <w:t>.</w:t>
      </w:r>
      <w:r w:rsidR="008B3FAF" w:rsidRPr="008B3FAF">
        <w:rPr>
          <w:sz w:val="24"/>
          <w:szCs w:val="24"/>
        </w:rPr>
        <w:t xml:space="preserve">, Pasar de 1 a 10 unidades representa una economía importante de costo, que en parte se revierte al pasar a la unidad 11; pero puede verse que la tendencia será a la estabilización en un valor algo superior a 10%. </w:t>
      </w:r>
    </w:p>
    <w:p w:rsidR="00B072FD" w:rsidRPr="00B072FD" w:rsidRDefault="00B072FD" w:rsidP="008B3FAF">
      <w:pPr>
        <w:jc w:val="center"/>
        <w:rPr>
          <w:sz w:val="24"/>
          <w:szCs w:val="24"/>
        </w:rPr>
      </w:pPr>
      <w:r>
        <w:rPr>
          <w:noProof/>
          <w:lang w:eastAsia="es-AR"/>
        </w:rPr>
        <w:drawing>
          <wp:inline distT="0" distB="0" distL="0" distR="0" wp14:anchorId="2EDB57EC" wp14:editId="2FC8B996">
            <wp:extent cx="4572000" cy="2743200"/>
            <wp:effectExtent l="0" t="0" r="19050" b="1905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8B3FAF" w:rsidRDefault="008B3FAF" w:rsidP="008B3FAF">
      <w:pPr>
        <w:pStyle w:val="Prrafodelista"/>
        <w:numPr>
          <w:ilvl w:val="0"/>
          <w:numId w:val="1"/>
        </w:numPr>
        <w:jc w:val="both"/>
        <w:rPr>
          <w:sz w:val="24"/>
          <w:szCs w:val="24"/>
        </w:rPr>
      </w:pPr>
      <w:r w:rsidRPr="00BB4441">
        <w:rPr>
          <w:sz w:val="24"/>
          <w:szCs w:val="24"/>
        </w:rPr>
        <w:t>Igual razonamiento cabe para el caso del personal. Notemos que si la incidencia de fallas en el parque fuera menor</w:t>
      </w:r>
      <w:r>
        <w:rPr>
          <w:sz w:val="24"/>
          <w:szCs w:val="24"/>
        </w:rPr>
        <w:t xml:space="preserve"> (o el ausentismo fuera menor)</w:t>
      </w:r>
      <w:r w:rsidRPr="00BB4441">
        <w:rPr>
          <w:sz w:val="24"/>
          <w:szCs w:val="24"/>
        </w:rPr>
        <w:t>, el tamaño mínimo adecuado se eleva.</w:t>
      </w:r>
    </w:p>
    <w:p w:rsidR="00BB4441" w:rsidRDefault="00BB4441" w:rsidP="00E85774">
      <w:pPr>
        <w:pStyle w:val="Prrafodelista"/>
        <w:ind w:left="360"/>
        <w:jc w:val="both"/>
        <w:rPr>
          <w:sz w:val="24"/>
          <w:szCs w:val="24"/>
        </w:rPr>
      </w:pPr>
    </w:p>
    <w:p w:rsidR="00BB4441" w:rsidRDefault="00BB4441" w:rsidP="00E85774">
      <w:pPr>
        <w:pStyle w:val="Prrafodelista"/>
        <w:numPr>
          <w:ilvl w:val="0"/>
          <w:numId w:val="1"/>
        </w:numPr>
        <w:jc w:val="both"/>
        <w:rPr>
          <w:sz w:val="24"/>
          <w:szCs w:val="24"/>
        </w:rPr>
      </w:pPr>
      <w:r>
        <w:rPr>
          <w:sz w:val="24"/>
          <w:szCs w:val="24"/>
        </w:rPr>
        <w:t xml:space="preserve">El hecho </w:t>
      </w:r>
      <w:r w:rsidR="008B3FAF">
        <w:rPr>
          <w:sz w:val="24"/>
          <w:szCs w:val="24"/>
        </w:rPr>
        <w:t xml:space="preserve">importante </w:t>
      </w:r>
      <w:r>
        <w:rPr>
          <w:sz w:val="24"/>
          <w:szCs w:val="24"/>
        </w:rPr>
        <w:t>es entonces que pasado un cierto tamaño de parque, el APP no muestra economías de escala relevantes.</w:t>
      </w:r>
      <w:r w:rsidR="008B3FAF">
        <w:rPr>
          <w:sz w:val="24"/>
          <w:szCs w:val="24"/>
        </w:rPr>
        <w:t xml:space="preserve"> No es por este lado que se justificaría un régimen de RE.</w:t>
      </w:r>
    </w:p>
    <w:p w:rsidR="00BB4441" w:rsidRPr="00BB4441" w:rsidRDefault="00BB4441" w:rsidP="00E85774">
      <w:pPr>
        <w:pStyle w:val="Prrafodelista"/>
        <w:jc w:val="both"/>
        <w:rPr>
          <w:sz w:val="24"/>
          <w:szCs w:val="24"/>
        </w:rPr>
      </w:pPr>
    </w:p>
    <w:p w:rsidR="00BB4441" w:rsidRDefault="00BB4441" w:rsidP="00E85774">
      <w:pPr>
        <w:pStyle w:val="Prrafodelista"/>
        <w:numPr>
          <w:ilvl w:val="0"/>
          <w:numId w:val="1"/>
        </w:numPr>
        <w:jc w:val="both"/>
        <w:rPr>
          <w:sz w:val="24"/>
          <w:szCs w:val="24"/>
        </w:rPr>
      </w:pPr>
      <w:r>
        <w:rPr>
          <w:sz w:val="24"/>
          <w:szCs w:val="24"/>
        </w:rPr>
        <w:t>En cuanto al argumento de la competencia ruinosa, se trata como dijimos de un fenómeno que no se observa en forma generalizada. Pero sí puede mencionarse que algunas experiencias de desregulación dieron lugar a una competencia de este tipo, pero que luego dio lugar a un acuerdo de tarifas y oferta que redundó en un servicio caro y poco utilizado. Ésta fue la conocida experiencia de Santiago de Chile, que motivó la vuelta a un régimen de RE.</w:t>
      </w:r>
    </w:p>
    <w:p w:rsidR="00BB4441" w:rsidRPr="00BB4441" w:rsidRDefault="00BB4441" w:rsidP="00E85774">
      <w:pPr>
        <w:pStyle w:val="Prrafodelista"/>
        <w:jc w:val="both"/>
        <w:rPr>
          <w:sz w:val="24"/>
          <w:szCs w:val="24"/>
        </w:rPr>
      </w:pPr>
    </w:p>
    <w:p w:rsidR="00BB4441" w:rsidRDefault="00BB4441" w:rsidP="00E85774">
      <w:pPr>
        <w:pStyle w:val="Prrafodelista"/>
        <w:numPr>
          <w:ilvl w:val="0"/>
          <w:numId w:val="1"/>
        </w:numPr>
        <w:jc w:val="both"/>
        <w:rPr>
          <w:sz w:val="24"/>
          <w:szCs w:val="24"/>
        </w:rPr>
      </w:pPr>
      <w:r>
        <w:rPr>
          <w:sz w:val="24"/>
          <w:szCs w:val="24"/>
        </w:rPr>
        <w:t xml:space="preserve">A lo anterior podemos agregar </w:t>
      </w:r>
      <w:r w:rsidR="008B3FAF">
        <w:rPr>
          <w:sz w:val="24"/>
          <w:szCs w:val="24"/>
        </w:rPr>
        <w:t>un tercer argumento, de cosecha propia</w:t>
      </w:r>
      <w:r>
        <w:rPr>
          <w:sz w:val="24"/>
          <w:szCs w:val="24"/>
        </w:rPr>
        <w:t xml:space="preserve">: no tenemos en realidad forma de establecer desde un principio cuál sería la oferta óptima de APP, más allá de casos muy simplificados (y poco realistas), porque se trata de un problema demasiado complejo. No tenemos razones para pensar que un régimen de ML será eficaz para resolver </w:t>
      </w:r>
      <w:r>
        <w:rPr>
          <w:sz w:val="24"/>
          <w:szCs w:val="24"/>
        </w:rPr>
        <w:lastRenderedPageBreak/>
        <w:t>este problema.</w:t>
      </w:r>
      <w:r w:rsidR="00F12BE1">
        <w:rPr>
          <w:sz w:val="24"/>
          <w:szCs w:val="24"/>
        </w:rPr>
        <w:t xml:space="preserve"> Necesitamos entonces instrumentar un seguimiento centralizado para lograr una oferta de APP que resulte eficiente.</w:t>
      </w:r>
    </w:p>
    <w:p w:rsidR="00F12BE1" w:rsidRPr="00F12BE1" w:rsidRDefault="00F12BE1" w:rsidP="00F12BE1">
      <w:pPr>
        <w:pStyle w:val="Prrafodelista"/>
        <w:rPr>
          <w:sz w:val="24"/>
          <w:szCs w:val="24"/>
        </w:rPr>
      </w:pPr>
    </w:p>
    <w:p w:rsidR="00F12BE1" w:rsidRDefault="00F12BE1" w:rsidP="00F12BE1">
      <w:pPr>
        <w:pStyle w:val="Prrafodelista"/>
        <w:numPr>
          <w:ilvl w:val="0"/>
          <w:numId w:val="1"/>
        </w:numPr>
        <w:jc w:val="both"/>
        <w:rPr>
          <w:sz w:val="24"/>
          <w:szCs w:val="24"/>
        </w:rPr>
      </w:pPr>
      <w:r>
        <w:rPr>
          <w:sz w:val="24"/>
          <w:szCs w:val="24"/>
        </w:rPr>
        <w:t>En definitiva, tenemos como argumentos la inestabilidad y posibilidad de colusión entre oferentes, y la necesidad de contar con un monitoreo centralizado; esto implica entonces que no podemos recurrir a un entorno de ML para el APP.</w:t>
      </w:r>
    </w:p>
    <w:p w:rsidR="00F12BE1" w:rsidRPr="00F12BE1" w:rsidRDefault="00F12BE1" w:rsidP="00F12BE1">
      <w:pPr>
        <w:pStyle w:val="Prrafodelista"/>
        <w:rPr>
          <w:sz w:val="24"/>
          <w:szCs w:val="24"/>
        </w:rPr>
      </w:pPr>
    </w:p>
    <w:p w:rsidR="008B3FAF" w:rsidRDefault="008B3FAF" w:rsidP="00E85774">
      <w:pPr>
        <w:pStyle w:val="Prrafodelista"/>
        <w:numPr>
          <w:ilvl w:val="0"/>
          <w:numId w:val="1"/>
        </w:numPr>
        <w:jc w:val="both"/>
        <w:rPr>
          <w:sz w:val="24"/>
          <w:szCs w:val="24"/>
        </w:rPr>
      </w:pPr>
      <w:r>
        <w:rPr>
          <w:sz w:val="24"/>
          <w:szCs w:val="24"/>
        </w:rPr>
        <w:t xml:space="preserve">Se ha aducido a veces que el APP es un servicio público esencial, en cuanto asegura un derecho básico de movilidad, y permite a las personas acceder a sus lugares de empleo, educación, etc. Este argumento tiene su sentido, en particular para el caso de los estratos sociales de menores ingresos, que dependen del transporte colectivo (en determinadas ciudades de países desarrollados, como es el caso de Sídney, Australia, el automóvil cubre más del 90% de la demanda de viajes). </w:t>
      </w:r>
      <w:r w:rsidR="00886651">
        <w:rPr>
          <w:sz w:val="24"/>
          <w:szCs w:val="24"/>
        </w:rPr>
        <w:t>Este argumento ofrece en realidad un relativo fundamento para la RE: podría asegurarse el servicio en un entorno de ML, mediante subsidios explícitos. Por otro lado, el propio concepto de “derecho básico” abarca un conjunto bastante más considerable de rubros, que van desde la alimentación hasta la salud, pasando por la vivienda; pero casi ninguno de tales rubros es suministrado bajo un régimen de RE, más allá de que exista promoción estatal en varios de ellos.</w:t>
      </w:r>
    </w:p>
    <w:p w:rsidR="00BB4441" w:rsidRPr="00BB4441" w:rsidRDefault="00BB4441" w:rsidP="00E85774">
      <w:pPr>
        <w:pStyle w:val="Prrafodelista"/>
        <w:jc w:val="both"/>
        <w:rPr>
          <w:sz w:val="24"/>
          <w:szCs w:val="24"/>
        </w:rPr>
      </w:pPr>
    </w:p>
    <w:p w:rsidR="00BB4441" w:rsidRDefault="00EE5D7A" w:rsidP="00E85774">
      <w:pPr>
        <w:pStyle w:val="Prrafodelista"/>
        <w:numPr>
          <w:ilvl w:val="0"/>
          <w:numId w:val="1"/>
        </w:numPr>
        <w:jc w:val="both"/>
        <w:rPr>
          <w:sz w:val="24"/>
          <w:szCs w:val="24"/>
        </w:rPr>
      </w:pPr>
      <w:r>
        <w:rPr>
          <w:sz w:val="24"/>
          <w:szCs w:val="24"/>
        </w:rPr>
        <w:t>Por último, ¿cuáles han sido las razones que se han aducido para estructura un régimen de regulación económica para el APP? Esta pregunta no se responde desde un ángulo teórico, sino a partir de las justificaciones que se ha esgrimido en la práctica. Podemos citar aquí los siguientes fundamentos:</w:t>
      </w:r>
    </w:p>
    <w:p w:rsidR="00F12BE1" w:rsidRDefault="00F12BE1" w:rsidP="00F12BE1">
      <w:pPr>
        <w:pStyle w:val="Prrafodelista"/>
        <w:numPr>
          <w:ilvl w:val="0"/>
          <w:numId w:val="4"/>
        </w:numPr>
        <w:rPr>
          <w:sz w:val="24"/>
          <w:szCs w:val="24"/>
        </w:rPr>
      </w:pPr>
      <w:r>
        <w:rPr>
          <w:sz w:val="24"/>
          <w:szCs w:val="24"/>
        </w:rPr>
        <w:t>Asegurar un derecho esencial a la movilidad, en términos de cobertura del servicio y regulación de tarifa</w:t>
      </w:r>
    </w:p>
    <w:p w:rsidR="00F12BE1" w:rsidRDefault="00F12BE1" w:rsidP="00F12BE1">
      <w:pPr>
        <w:pStyle w:val="Prrafodelista"/>
        <w:numPr>
          <w:ilvl w:val="0"/>
          <w:numId w:val="4"/>
        </w:numPr>
        <w:rPr>
          <w:sz w:val="24"/>
          <w:szCs w:val="24"/>
        </w:rPr>
      </w:pPr>
      <w:r>
        <w:rPr>
          <w:sz w:val="24"/>
          <w:szCs w:val="24"/>
        </w:rPr>
        <w:t>Replicar el régimen regulatorio que tienen o tuvieron los modos guiados (ferrocarril, tranvía), por una suerte de equiparación de condiciones de competencia</w:t>
      </w:r>
    </w:p>
    <w:p w:rsidR="00F12BE1" w:rsidRDefault="00F12BE1" w:rsidP="00F12BE1">
      <w:pPr>
        <w:pStyle w:val="Prrafodelista"/>
        <w:numPr>
          <w:ilvl w:val="0"/>
          <w:numId w:val="4"/>
        </w:numPr>
        <w:rPr>
          <w:sz w:val="24"/>
          <w:szCs w:val="24"/>
        </w:rPr>
      </w:pPr>
      <w:r>
        <w:rPr>
          <w:sz w:val="24"/>
          <w:szCs w:val="24"/>
        </w:rPr>
        <w:t>Generar un entorno estable al “acarreador establecido”.</w:t>
      </w:r>
    </w:p>
    <w:p w:rsidR="00F12BE1" w:rsidRDefault="00F12BE1" w:rsidP="00F12BE1">
      <w:pPr>
        <w:pStyle w:val="Prrafodelista"/>
        <w:ind w:left="360"/>
        <w:jc w:val="both"/>
        <w:rPr>
          <w:sz w:val="24"/>
          <w:szCs w:val="24"/>
        </w:rPr>
      </w:pPr>
    </w:p>
    <w:p w:rsidR="00985E30" w:rsidRDefault="00F12BE1" w:rsidP="00F12BE1">
      <w:pPr>
        <w:pStyle w:val="Prrafodelista"/>
        <w:numPr>
          <w:ilvl w:val="0"/>
          <w:numId w:val="1"/>
        </w:numPr>
        <w:jc w:val="both"/>
        <w:rPr>
          <w:sz w:val="24"/>
          <w:szCs w:val="24"/>
        </w:rPr>
      </w:pPr>
      <w:r>
        <w:rPr>
          <w:sz w:val="24"/>
          <w:szCs w:val="24"/>
        </w:rPr>
        <w:t>Se trata en general de justificaciones relativamente pobres, por lo menos en relación a la discusión que se desarroll</w:t>
      </w:r>
      <w:r w:rsidR="006705CF">
        <w:rPr>
          <w:sz w:val="24"/>
          <w:szCs w:val="24"/>
        </w:rPr>
        <w:t>ó</w:t>
      </w:r>
      <w:r>
        <w:rPr>
          <w:sz w:val="24"/>
          <w:szCs w:val="24"/>
        </w:rPr>
        <w:t xml:space="preserve"> desde la óptica económica.</w:t>
      </w:r>
      <w:r w:rsidR="00985E30">
        <w:rPr>
          <w:sz w:val="24"/>
          <w:szCs w:val="24"/>
        </w:rPr>
        <w:t xml:space="preserve"> En particular:</w:t>
      </w:r>
    </w:p>
    <w:p w:rsidR="00985E30" w:rsidRDefault="00985E30" w:rsidP="00985E30">
      <w:pPr>
        <w:pStyle w:val="Prrafodelista"/>
        <w:numPr>
          <w:ilvl w:val="0"/>
          <w:numId w:val="5"/>
        </w:numPr>
        <w:jc w:val="both"/>
        <w:rPr>
          <w:sz w:val="24"/>
          <w:szCs w:val="24"/>
        </w:rPr>
      </w:pPr>
      <w:r w:rsidRPr="00985E30">
        <w:rPr>
          <w:sz w:val="24"/>
          <w:szCs w:val="24"/>
        </w:rPr>
        <w:t xml:space="preserve">La noción de derecho esencial no requiere forzosamente de la RE. </w:t>
      </w:r>
    </w:p>
    <w:p w:rsidR="00985E30" w:rsidRDefault="00985E30" w:rsidP="00985E30">
      <w:pPr>
        <w:pStyle w:val="Prrafodelista"/>
        <w:numPr>
          <w:ilvl w:val="0"/>
          <w:numId w:val="5"/>
        </w:numPr>
        <w:jc w:val="both"/>
        <w:rPr>
          <w:sz w:val="24"/>
          <w:szCs w:val="24"/>
        </w:rPr>
      </w:pPr>
      <w:r w:rsidRPr="00985E30">
        <w:rPr>
          <w:sz w:val="24"/>
          <w:szCs w:val="24"/>
        </w:rPr>
        <w:t xml:space="preserve">Replicar el marco que tuvo el modo ferroviario no tiene sentido, dado que éste fue un sector donde sí se verificó una tendencia a la monopolización por obra de las economías de escala; concurrió a esto el que el ferrocarril proveyera y administrara su propia infraestructura (al contrario de lo que ocurre con </w:t>
      </w:r>
      <w:proofErr w:type="spellStart"/>
      <w:r w:rsidRPr="00985E30">
        <w:rPr>
          <w:sz w:val="24"/>
          <w:szCs w:val="24"/>
        </w:rPr>
        <w:t>el</w:t>
      </w:r>
      <w:proofErr w:type="spellEnd"/>
      <w:r w:rsidRPr="00985E30">
        <w:rPr>
          <w:sz w:val="24"/>
          <w:szCs w:val="24"/>
        </w:rPr>
        <w:t xml:space="preserve"> APP). </w:t>
      </w:r>
    </w:p>
    <w:p w:rsidR="00985E30" w:rsidRDefault="00985E30" w:rsidP="00985E30">
      <w:pPr>
        <w:pStyle w:val="Prrafodelista"/>
        <w:numPr>
          <w:ilvl w:val="0"/>
          <w:numId w:val="5"/>
        </w:numPr>
        <w:jc w:val="both"/>
        <w:rPr>
          <w:sz w:val="24"/>
          <w:szCs w:val="24"/>
        </w:rPr>
      </w:pPr>
      <w:r>
        <w:rPr>
          <w:sz w:val="24"/>
          <w:szCs w:val="24"/>
        </w:rPr>
        <w:lastRenderedPageBreak/>
        <w:t>Generar un ámbito protegido como forma de asegurar un derecho adquirido no tiene fundamento económico alguno.</w:t>
      </w:r>
    </w:p>
    <w:p w:rsidR="00F12BE1" w:rsidRPr="00985E30" w:rsidRDefault="006705CF" w:rsidP="00985E30">
      <w:pPr>
        <w:ind w:left="420"/>
        <w:jc w:val="both"/>
        <w:rPr>
          <w:sz w:val="24"/>
          <w:szCs w:val="24"/>
        </w:rPr>
      </w:pPr>
      <w:r w:rsidRPr="00985E30">
        <w:rPr>
          <w:sz w:val="24"/>
          <w:szCs w:val="24"/>
        </w:rPr>
        <w:t>Pero el hecho es que</w:t>
      </w:r>
      <w:r w:rsidR="00985E30">
        <w:rPr>
          <w:sz w:val="24"/>
          <w:szCs w:val="24"/>
        </w:rPr>
        <w:t>, más allá de la fundamentación,</w:t>
      </w:r>
      <w:r w:rsidRPr="00985E30">
        <w:rPr>
          <w:sz w:val="24"/>
          <w:szCs w:val="24"/>
        </w:rPr>
        <w:t xml:space="preserve"> el APP se ha desarrollado históricamente en un marco regulado. Corresponde profundizar ahora el alcance y naturaleza de la regulación.</w:t>
      </w:r>
    </w:p>
    <w:p w:rsidR="006705CF" w:rsidRPr="006705CF" w:rsidRDefault="006705CF" w:rsidP="006705CF">
      <w:pPr>
        <w:jc w:val="both"/>
        <w:rPr>
          <w:sz w:val="24"/>
          <w:szCs w:val="24"/>
        </w:rPr>
      </w:pPr>
    </w:p>
    <w:p w:rsidR="006705CF" w:rsidRPr="001D7098" w:rsidRDefault="006705CF" w:rsidP="001D7098">
      <w:pPr>
        <w:pStyle w:val="Ttulo1"/>
        <w:rPr>
          <w:sz w:val="24"/>
          <w:szCs w:val="24"/>
        </w:rPr>
      </w:pPr>
      <w:bookmarkStart w:id="2" w:name="_Toc356918181"/>
      <w:r>
        <w:rPr>
          <w:sz w:val="24"/>
          <w:szCs w:val="24"/>
        </w:rPr>
        <w:t>La Regulación del APP: variantes</w:t>
      </w:r>
      <w:bookmarkEnd w:id="2"/>
    </w:p>
    <w:p w:rsidR="00C42405" w:rsidRDefault="00C42405" w:rsidP="006705CF">
      <w:pPr>
        <w:pStyle w:val="Prrafodelista"/>
        <w:numPr>
          <w:ilvl w:val="0"/>
          <w:numId w:val="1"/>
        </w:numPr>
        <w:jc w:val="both"/>
        <w:rPr>
          <w:sz w:val="24"/>
          <w:szCs w:val="24"/>
        </w:rPr>
      </w:pPr>
      <w:r>
        <w:rPr>
          <w:sz w:val="24"/>
          <w:szCs w:val="24"/>
        </w:rPr>
        <w:t>El marco regulatorio del APP, en un ámbito de RE, requiere definiciones en las categorías siguientes:</w:t>
      </w:r>
    </w:p>
    <w:p w:rsidR="00C42405" w:rsidRDefault="00C42405" w:rsidP="00C42405">
      <w:pPr>
        <w:pStyle w:val="Prrafodelista"/>
        <w:numPr>
          <w:ilvl w:val="1"/>
          <w:numId w:val="1"/>
        </w:numPr>
        <w:jc w:val="both"/>
        <w:rPr>
          <w:sz w:val="24"/>
          <w:szCs w:val="24"/>
        </w:rPr>
      </w:pPr>
      <w:r>
        <w:rPr>
          <w:sz w:val="24"/>
          <w:szCs w:val="24"/>
        </w:rPr>
        <w:t>Figura jurídica que enmarca la actividad</w:t>
      </w:r>
    </w:p>
    <w:p w:rsidR="00C42405" w:rsidRDefault="00C42405" w:rsidP="00C42405">
      <w:pPr>
        <w:pStyle w:val="Prrafodelista"/>
        <w:numPr>
          <w:ilvl w:val="1"/>
          <w:numId w:val="1"/>
        </w:numPr>
        <w:jc w:val="both"/>
        <w:rPr>
          <w:sz w:val="24"/>
          <w:szCs w:val="24"/>
        </w:rPr>
      </w:pPr>
      <w:r>
        <w:rPr>
          <w:sz w:val="24"/>
          <w:szCs w:val="24"/>
        </w:rPr>
        <w:t>Identidad y funcionamiento institucional del concedente</w:t>
      </w:r>
    </w:p>
    <w:p w:rsidR="00C42405" w:rsidRDefault="00C42405" w:rsidP="00C42405">
      <w:pPr>
        <w:pStyle w:val="Prrafodelista"/>
        <w:numPr>
          <w:ilvl w:val="1"/>
          <w:numId w:val="1"/>
        </w:numPr>
        <w:jc w:val="both"/>
        <w:rPr>
          <w:sz w:val="24"/>
          <w:szCs w:val="24"/>
        </w:rPr>
      </w:pPr>
      <w:r>
        <w:rPr>
          <w:sz w:val="24"/>
          <w:szCs w:val="24"/>
        </w:rPr>
        <w:t>Alcance de la fijación de tarifas por parte del concedente</w:t>
      </w:r>
    </w:p>
    <w:p w:rsidR="00C42405" w:rsidRDefault="00C42405" w:rsidP="00C42405">
      <w:pPr>
        <w:pStyle w:val="Prrafodelista"/>
        <w:numPr>
          <w:ilvl w:val="1"/>
          <w:numId w:val="1"/>
        </w:numPr>
        <w:jc w:val="both"/>
        <w:rPr>
          <w:sz w:val="24"/>
          <w:szCs w:val="24"/>
        </w:rPr>
      </w:pPr>
      <w:r>
        <w:rPr>
          <w:sz w:val="24"/>
          <w:szCs w:val="24"/>
        </w:rPr>
        <w:t xml:space="preserve">Alcance </w:t>
      </w:r>
      <w:r>
        <w:rPr>
          <w:sz w:val="24"/>
          <w:szCs w:val="24"/>
        </w:rPr>
        <w:t>e iniciativa en</w:t>
      </w:r>
      <w:r>
        <w:rPr>
          <w:sz w:val="24"/>
          <w:szCs w:val="24"/>
        </w:rPr>
        <w:t xml:space="preserve"> la fijación de </w:t>
      </w:r>
      <w:r>
        <w:rPr>
          <w:sz w:val="24"/>
          <w:szCs w:val="24"/>
        </w:rPr>
        <w:t>recorridos</w:t>
      </w:r>
      <w:r>
        <w:rPr>
          <w:sz w:val="24"/>
          <w:szCs w:val="24"/>
        </w:rPr>
        <w:t xml:space="preserve"> por parte del concedente</w:t>
      </w:r>
    </w:p>
    <w:p w:rsidR="00C42405" w:rsidRDefault="00C42405" w:rsidP="00C42405">
      <w:pPr>
        <w:pStyle w:val="Prrafodelista"/>
        <w:numPr>
          <w:ilvl w:val="1"/>
          <w:numId w:val="1"/>
        </w:numPr>
        <w:jc w:val="both"/>
        <w:rPr>
          <w:sz w:val="24"/>
          <w:szCs w:val="24"/>
        </w:rPr>
      </w:pPr>
      <w:r>
        <w:rPr>
          <w:sz w:val="24"/>
          <w:szCs w:val="24"/>
        </w:rPr>
        <w:t>Destino de la recaudación y forma de remuneración al operador</w:t>
      </w:r>
    </w:p>
    <w:p w:rsidR="00C42405" w:rsidRDefault="00C42405" w:rsidP="00C42405">
      <w:pPr>
        <w:pStyle w:val="Prrafodelista"/>
        <w:numPr>
          <w:ilvl w:val="1"/>
          <w:numId w:val="1"/>
        </w:numPr>
        <w:jc w:val="both"/>
        <w:rPr>
          <w:sz w:val="24"/>
          <w:szCs w:val="24"/>
        </w:rPr>
      </w:pPr>
      <w:r>
        <w:rPr>
          <w:sz w:val="24"/>
          <w:szCs w:val="24"/>
        </w:rPr>
        <w:t>Criterios de adjudicación y renovación de los permisos o concesiones</w:t>
      </w:r>
    </w:p>
    <w:p w:rsidR="00C42405" w:rsidRDefault="00C42405" w:rsidP="00C42405">
      <w:pPr>
        <w:pStyle w:val="Prrafodelista"/>
        <w:ind w:left="360"/>
        <w:jc w:val="both"/>
        <w:rPr>
          <w:sz w:val="24"/>
          <w:szCs w:val="24"/>
        </w:rPr>
      </w:pPr>
    </w:p>
    <w:p w:rsidR="006705CF" w:rsidRDefault="00356876" w:rsidP="006705CF">
      <w:pPr>
        <w:pStyle w:val="Prrafodelista"/>
        <w:numPr>
          <w:ilvl w:val="0"/>
          <w:numId w:val="1"/>
        </w:numPr>
        <w:jc w:val="both"/>
        <w:rPr>
          <w:sz w:val="24"/>
          <w:szCs w:val="24"/>
        </w:rPr>
      </w:pPr>
      <w:r>
        <w:rPr>
          <w:sz w:val="24"/>
          <w:szCs w:val="24"/>
        </w:rPr>
        <w:t>En general, los regímenes regulatorios para el APP en la Argentina han tendido a desarrollarse en un ámbito de pasividad estatal. Esto es particularmente visible en el caso de la Región Metropolitana de Buenos Aires, y en grado disímil en el resto de las áreas urbanas. Esto se vio acompañado por la progresiva desaparición de empresas prestadoras estatales, al punto que no quedaba ninguna de ellas en la década de 1990 (las únicas excepciones eran las empresas provinciales de trolebuses de Córdoba y Mendoza; pero esta tecnología no es comparable con la del APP, por requerir de infraestructura propia).</w:t>
      </w:r>
      <w:r w:rsidR="00F924C8">
        <w:rPr>
          <w:sz w:val="24"/>
          <w:szCs w:val="24"/>
        </w:rPr>
        <w:t xml:space="preserve"> La ciudad que mayor experiencia ha tenido en cuanto a activismo estatal en el sector ha sido Córdoba.</w:t>
      </w:r>
    </w:p>
    <w:p w:rsidR="00356876" w:rsidRDefault="00356876" w:rsidP="00356876">
      <w:pPr>
        <w:pStyle w:val="Prrafodelista"/>
        <w:ind w:left="360"/>
        <w:jc w:val="both"/>
        <w:rPr>
          <w:sz w:val="24"/>
          <w:szCs w:val="24"/>
        </w:rPr>
      </w:pPr>
    </w:p>
    <w:p w:rsidR="00356876" w:rsidRPr="00356876" w:rsidRDefault="00356876" w:rsidP="00356876">
      <w:pPr>
        <w:pStyle w:val="Prrafodelista"/>
        <w:numPr>
          <w:ilvl w:val="0"/>
          <w:numId w:val="1"/>
        </w:numPr>
        <w:jc w:val="both"/>
        <w:rPr>
          <w:sz w:val="24"/>
          <w:szCs w:val="24"/>
        </w:rPr>
      </w:pPr>
      <w:r w:rsidRPr="00356876">
        <w:rPr>
          <w:sz w:val="24"/>
          <w:szCs w:val="24"/>
        </w:rPr>
        <w:t xml:space="preserve">En este marco, las empresas toman la iniciativa en cuanto a la modificación de la red y dotación de parque móvil. El poder público se limita a convalidar estos pedidos, atendiendo básicamente a </w:t>
      </w:r>
      <w:proofErr w:type="gramStart"/>
      <w:r w:rsidRPr="00356876">
        <w:rPr>
          <w:sz w:val="24"/>
          <w:szCs w:val="24"/>
        </w:rPr>
        <w:t>las</w:t>
      </w:r>
      <w:proofErr w:type="gramEnd"/>
      <w:r w:rsidRPr="00356876">
        <w:rPr>
          <w:sz w:val="24"/>
          <w:szCs w:val="24"/>
        </w:rPr>
        <w:t xml:space="preserve"> eventuales conflictos con otros operadores. Por lo demás, el peso mayor de la RE se ejerce en lo que atañe a la tarifa, a la prohibición de prestación del servicio a operadores no autorizados y al establecimiento de características técnicas del parque (y a restringir su antigüedad). La inspección a los efectos de verificar el cumplimiento de los servicios es de relativo alcance. </w:t>
      </w:r>
      <w:r>
        <w:rPr>
          <w:sz w:val="24"/>
          <w:szCs w:val="24"/>
        </w:rPr>
        <w:t>Por último, l</w:t>
      </w:r>
      <w:r w:rsidRPr="00356876">
        <w:rPr>
          <w:sz w:val="24"/>
          <w:szCs w:val="24"/>
        </w:rPr>
        <w:t xml:space="preserve">os permisos que se extienden son renovados periódicamente (en la práctica, con bastante </w:t>
      </w:r>
      <w:proofErr w:type="spellStart"/>
      <w:r w:rsidRPr="00356876">
        <w:rPr>
          <w:sz w:val="24"/>
          <w:szCs w:val="24"/>
        </w:rPr>
        <w:t>erraticidad</w:t>
      </w:r>
      <w:proofErr w:type="spellEnd"/>
      <w:r w:rsidRPr="00356876">
        <w:rPr>
          <w:sz w:val="24"/>
          <w:szCs w:val="24"/>
        </w:rPr>
        <w:t>) sin que exista mecanismo licitatorio.</w:t>
      </w:r>
    </w:p>
    <w:p w:rsidR="00356876" w:rsidRPr="00356876" w:rsidRDefault="00356876" w:rsidP="00356876">
      <w:pPr>
        <w:pStyle w:val="Prrafodelista"/>
        <w:rPr>
          <w:sz w:val="24"/>
          <w:szCs w:val="24"/>
        </w:rPr>
      </w:pPr>
    </w:p>
    <w:p w:rsidR="00356876" w:rsidRDefault="00356876" w:rsidP="00356876">
      <w:pPr>
        <w:pStyle w:val="Prrafodelista"/>
        <w:numPr>
          <w:ilvl w:val="0"/>
          <w:numId w:val="1"/>
        </w:numPr>
        <w:jc w:val="both"/>
        <w:rPr>
          <w:sz w:val="24"/>
          <w:szCs w:val="24"/>
        </w:rPr>
      </w:pPr>
      <w:r w:rsidRPr="00C42405">
        <w:rPr>
          <w:sz w:val="24"/>
          <w:szCs w:val="24"/>
        </w:rPr>
        <w:lastRenderedPageBreak/>
        <w:t xml:space="preserve"> Hoy día sin embargo se ha</w:t>
      </w:r>
      <w:r w:rsidR="00C42405">
        <w:rPr>
          <w:sz w:val="24"/>
          <w:szCs w:val="24"/>
        </w:rPr>
        <w:t>n producido diversas modificaciones en este cuadro, mayormente fuera de la Región Metropolitana de Buenos Aires. En particular:</w:t>
      </w:r>
    </w:p>
    <w:p w:rsidR="00C42405" w:rsidRPr="00C42405" w:rsidRDefault="00C42405" w:rsidP="00C42405">
      <w:pPr>
        <w:pStyle w:val="Prrafodelista"/>
        <w:rPr>
          <w:sz w:val="24"/>
          <w:szCs w:val="24"/>
        </w:rPr>
      </w:pPr>
    </w:p>
    <w:p w:rsidR="00C42405" w:rsidRDefault="00C42405" w:rsidP="00C42405">
      <w:pPr>
        <w:pStyle w:val="Prrafodelista"/>
        <w:numPr>
          <w:ilvl w:val="1"/>
          <w:numId w:val="1"/>
        </w:numPr>
        <w:jc w:val="both"/>
        <w:rPr>
          <w:sz w:val="24"/>
          <w:szCs w:val="24"/>
        </w:rPr>
      </w:pPr>
      <w:r>
        <w:rPr>
          <w:sz w:val="24"/>
          <w:szCs w:val="24"/>
        </w:rPr>
        <w:t>Se han producido fusiones empresarias, por las que los operadores son menos empresas, y de tamaño mayor</w:t>
      </w:r>
      <w:r w:rsidR="001A4C17">
        <w:rPr>
          <w:sz w:val="24"/>
          <w:szCs w:val="24"/>
        </w:rPr>
        <w:t>.</w:t>
      </w:r>
    </w:p>
    <w:p w:rsidR="00C42405" w:rsidRDefault="001A4C17" w:rsidP="00C42405">
      <w:pPr>
        <w:pStyle w:val="Prrafodelista"/>
        <w:numPr>
          <w:ilvl w:val="1"/>
          <w:numId w:val="1"/>
        </w:numPr>
        <w:jc w:val="both"/>
        <w:rPr>
          <w:sz w:val="24"/>
          <w:szCs w:val="24"/>
        </w:rPr>
      </w:pPr>
      <w:r>
        <w:rPr>
          <w:sz w:val="24"/>
          <w:szCs w:val="24"/>
        </w:rPr>
        <w:t>Han surgido nuevamente prestadores estatales (Rosario, Córdoba).</w:t>
      </w:r>
    </w:p>
    <w:p w:rsidR="001A4C17" w:rsidRDefault="001A4C17" w:rsidP="00C42405">
      <w:pPr>
        <w:pStyle w:val="Prrafodelista"/>
        <w:numPr>
          <w:ilvl w:val="1"/>
          <w:numId w:val="1"/>
        </w:numPr>
        <w:jc w:val="both"/>
        <w:rPr>
          <w:sz w:val="24"/>
          <w:szCs w:val="24"/>
        </w:rPr>
      </w:pPr>
      <w:r>
        <w:rPr>
          <w:sz w:val="24"/>
          <w:szCs w:val="24"/>
        </w:rPr>
        <w:t>Se han instrumentado marcos regulatorios por los que la recaudación no ingresa directamente al operador, sino que se redistribuye, en función de los servicios prestados, y no del tráfico transportado (Salta, Mendoza).</w:t>
      </w:r>
    </w:p>
    <w:p w:rsidR="0072203F" w:rsidRDefault="00F924C8" w:rsidP="00C42405">
      <w:pPr>
        <w:pStyle w:val="Prrafodelista"/>
        <w:numPr>
          <w:ilvl w:val="1"/>
          <w:numId w:val="1"/>
        </w:numPr>
        <w:jc w:val="both"/>
        <w:rPr>
          <w:sz w:val="24"/>
          <w:szCs w:val="24"/>
        </w:rPr>
      </w:pPr>
      <w:r>
        <w:rPr>
          <w:sz w:val="24"/>
          <w:szCs w:val="24"/>
        </w:rPr>
        <w:t>Aparece un nuevo activismo estatal en la definición de recorridos (Salta, Rosario, Córdoba, Mendoza).</w:t>
      </w:r>
    </w:p>
    <w:p w:rsidR="0072203F" w:rsidRDefault="0072203F" w:rsidP="0072203F">
      <w:pPr>
        <w:pStyle w:val="Prrafodelista"/>
        <w:ind w:left="360"/>
        <w:jc w:val="both"/>
      </w:pPr>
    </w:p>
    <w:p w:rsidR="00F924C8" w:rsidRDefault="0072203F" w:rsidP="0072203F">
      <w:pPr>
        <w:pStyle w:val="Prrafodelista"/>
        <w:numPr>
          <w:ilvl w:val="0"/>
          <w:numId w:val="1"/>
        </w:numPr>
        <w:jc w:val="both"/>
      </w:pPr>
      <w:r>
        <w:t>A partir de la experiencia, podemos identificar tres modelos básicos de regulación en el APP.</w:t>
      </w:r>
    </w:p>
    <w:p w:rsidR="0072203F" w:rsidRDefault="0072203F" w:rsidP="0072203F">
      <w:pPr>
        <w:pStyle w:val="Prrafodelista"/>
        <w:numPr>
          <w:ilvl w:val="1"/>
          <w:numId w:val="1"/>
        </w:numPr>
        <w:jc w:val="both"/>
      </w:pPr>
      <w:r>
        <w:t>Regulación pasiva</w:t>
      </w:r>
    </w:p>
    <w:p w:rsidR="0072203F" w:rsidRDefault="0072203F" w:rsidP="0072203F">
      <w:pPr>
        <w:pStyle w:val="Prrafodelista"/>
        <w:numPr>
          <w:ilvl w:val="1"/>
          <w:numId w:val="1"/>
        </w:numPr>
        <w:jc w:val="both"/>
      </w:pPr>
      <w:r>
        <w:t>Regulación activa</w:t>
      </w:r>
    </w:p>
    <w:p w:rsidR="0072203F" w:rsidRDefault="0072203F" w:rsidP="0072203F">
      <w:pPr>
        <w:pStyle w:val="Prrafodelista"/>
        <w:numPr>
          <w:ilvl w:val="2"/>
          <w:numId w:val="1"/>
        </w:numPr>
        <w:jc w:val="both"/>
      </w:pPr>
      <w:r>
        <w:t>Con disparidad de rentabilidad</w:t>
      </w:r>
    </w:p>
    <w:p w:rsidR="0072203F" w:rsidRDefault="0072203F" w:rsidP="0072203F">
      <w:pPr>
        <w:pStyle w:val="Prrafodelista"/>
        <w:numPr>
          <w:ilvl w:val="2"/>
          <w:numId w:val="1"/>
        </w:numPr>
        <w:jc w:val="both"/>
      </w:pPr>
      <w:r>
        <w:t>Sin disparidad de rentabilidad.</w:t>
      </w:r>
    </w:p>
    <w:p w:rsidR="005F312C" w:rsidRDefault="005F312C" w:rsidP="005F312C">
      <w:pPr>
        <w:ind w:left="426"/>
        <w:jc w:val="both"/>
      </w:pPr>
      <w:r>
        <w:t xml:space="preserve">El cuadro siguiente indica las características comunes y distintivas de cada modelo. </w:t>
      </w:r>
    </w:p>
    <w:tbl>
      <w:tblPr>
        <w:tblW w:w="9922" w:type="dxa"/>
        <w:tblInd w:w="354" w:type="dxa"/>
        <w:tblCellMar>
          <w:left w:w="70" w:type="dxa"/>
          <w:right w:w="70" w:type="dxa"/>
        </w:tblCellMar>
        <w:tblLook w:val="04A0" w:firstRow="1" w:lastRow="0" w:firstColumn="1" w:lastColumn="0" w:noHBand="0" w:noVBand="1"/>
      </w:tblPr>
      <w:tblGrid>
        <w:gridCol w:w="2860"/>
        <w:gridCol w:w="2668"/>
        <w:gridCol w:w="1849"/>
        <w:gridCol w:w="2545"/>
      </w:tblGrid>
      <w:tr w:rsidR="00257F01" w:rsidRPr="00B168FC" w:rsidTr="00226574">
        <w:trPr>
          <w:trHeight w:val="375"/>
        </w:trPr>
        <w:tc>
          <w:tcPr>
            <w:tcW w:w="2860" w:type="dxa"/>
            <w:vMerge w:val="restart"/>
            <w:tcBorders>
              <w:top w:val="single" w:sz="4" w:space="0" w:color="FFFFFF"/>
              <w:left w:val="single" w:sz="4" w:space="0" w:color="FFFFFF"/>
              <w:bottom w:val="single" w:sz="4" w:space="0" w:color="FFFFFF"/>
              <w:right w:val="single" w:sz="4" w:space="0" w:color="FFFFFF"/>
            </w:tcBorders>
            <w:shd w:val="clear" w:color="000000" w:fill="16365C"/>
            <w:noWrap/>
            <w:vAlign w:val="center"/>
            <w:hideMark/>
          </w:tcPr>
          <w:p w:rsidR="00B168FC" w:rsidRPr="00B168FC" w:rsidRDefault="00B168FC" w:rsidP="00B168FC">
            <w:pPr>
              <w:spacing w:after="0" w:line="240" w:lineRule="auto"/>
              <w:jc w:val="center"/>
              <w:rPr>
                <w:rFonts w:ascii="Calibri" w:eastAsia="Times New Roman" w:hAnsi="Calibri" w:cs="Calibri"/>
                <w:b/>
                <w:bCs/>
                <w:i/>
                <w:iCs/>
                <w:color w:val="FFFFFF" w:themeColor="background1"/>
                <w:sz w:val="28"/>
                <w:szCs w:val="28"/>
                <w:lang w:eastAsia="es-AR"/>
              </w:rPr>
            </w:pPr>
            <w:r w:rsidRPr="00B168FC">
              <w:rPr>
                <w:rFonts w:ascii="Calibri" w:eastAsia="Times New Roman" w:hAnsi="Calibri" w:cs="Calibri"/>
                <w:b/>
                <w:bCs/>
                <w:i/>
                <w:iCs/>
                <w:color w:val="FFFFFF" w:themeColor="background1"/>
                <w:sz w:val="28"/>
                <w:szCs w:val="28"/>
                <w:lang w:eastAsia="es-AR"/>
              </w:rPr>
              <w:t>Rubro</w:t>
            </w:r>
          </w:p>
        </w:tc>
        <w:tc>
          <w:tcPr>
            <w:tcW w:w="4517" w:type="dxa"/>
            <w:gridSpan w:val="2"/>
            <w:tcBorders>
              <w:top w:val="single" w:sz="4" w:space="0" w:color="FFFFFF"/>
              <w:left w:val="nil"/>
              <w:bottom w:val="single" w:sz="4" w:space="0" w:color="FFFFFF"/>
              <w:right w:val="single" w:sz="4" w:space="0" w:color="FFFFFF"/>
            </w:tcBorders>
            <w:shd w:val="clear" w:color="000000" w:fill="16365C"/>
            <w:noWrap/>
            <w:vAlign w:val="bottom"/>
            <w:hideMark/>
          </w:tcPr>
          <w:p w:rsidR="00B168FC" w:rsidRPr="00B168FC" w:rsidRDefault="00B168FC" w:rsidP="00B168FC">
            <w:pPr>
              <w:spacing w:after="0" w:line="240" w:lineRule="auto"/>
              <w:jc w:val="center"/>
              <w:rPr>
                <w:rFonts w:ascii="Calibri" w:eastAsia="Times New Roman" w:hAnsi="Calibri" w:cs="Calibri"/>
                <w:b/>
                <w:bCs/>
                <w:color w:val="FFFFFF" w:themeColor="background1"/>
                <w:sz w:val="28"/>
                <w:szCs w:val="28"/>
                <w:lang w:eastAsia="es-AR"/>
              </w:rPr>
            </w:pPr>
            <w:r w:rsidRPr="00B168FC">
              <w:rPr>
                <w:rFonts w:ascii="Calibri" w:eastAsia="Times New Roman" w:hAnsi="Calibri" w:cs="Calibri"/>
                <w:b/>
                <w:bCs/>
                <w:color w:val="FFFFFF" w:themeColor="background1"/>
                <w:sz w:val="28"/>
                <w:szCs w:val="28"/>
                <w:lang w:eastAsia="es-AR"/>
              </w:rPr>
              <w:t>Regulación activa</w:t>
            </w:r>
          </w:p>
        </w:tc>
        <w:tc>
          <w:tcPr>
            <w:tcW w:w="2545" w:type="dxa"/>
            <w:vMerge w:val="restart"/>
            <w:tcBorders>
              <w:top w:val="single" w:sz="4" w:space="0" w:color="FFFFFF"/>
              <w:left w:val="single" w:sz="4" w:space="0" w:color="FFFFFF"/>
              <w:bottom w:val="single" w:sz="4" w:space="0" w:color="FFFFFF"/>
              <w:right w:val="single" w:sz="4" w:space="0" w:color="FFFFFF"/>
            </w:tcBorders>
            <w:shd w:val="clear" w:color="000000" w:fill="16365C"/>
            <w:vAlign w:val="center"/>
            <w:hideMark/>
          </w:tcPr>
          <w:p w:rsidR="00B168FC" w:rsidRPr="00B168FC" w:rsidRDefault="00B168FC" w:rsidP="00B168FC">
            <w:pPr>
              <w:spacing w:after="0" w:line="240" w:lineRule="auto"/>
              <w:jc w:val="center"/>
              <w:rPr>
                <w:rFonts w:ascii="Calibri" w:eastAsia="Times New Roman" w:hAnsi="Calibri" w:cs="Calibri"/>
                <w:b/>
                <w:bCs/>
                <w:color w:val="FFFFFF" w:themeColor="background1"/>
                <w:sz w:val="28"/>
                <w:szCs w:val="28"/>
                <w:lang w:eastAsia="es-AR"/>
              </w:rPr>
            </w:pPr>
            <w:r w:rsidRPr="00B168FC">
              <w:rPr>
                <w:rFonts w:ascii="Calibri" w:eastAsia="Times New Roman" w:hAnsi="Calibri" w:cs="Calibri"/>
                <w:b/>
                <w:bCs/>
                <w:color w:val="FFFFFF" w:themeColor="background1"/>
                <w:sz w:val="28"/>
                <w:szCs w:val="28"/>
                <w:lang w:eastAsia="es-AR"/>
              </w:rPr>
              <w:t>Regulación pasiva</w:t>
            </w:r>
          </w:p>
        </w:tc>
      </w:tr>
      <w:tr w:rsidR="00257F01" w:rsidRPr="00B168FC" w:rsidTr="00226574">
        <w:trPr>
          <w:trHeight w:val="375"/>
        </w:trPr>
        <w:tc>
          <w:tcPr>
            <w:tcW w:w="2860" w:type="dxa"/>
            <w:vMerge/>
            <w:tcBorders>
              <w:top w:val="single" w:sz="4" w:space="0" w:color="FFFFFF"/>
              <w:left w:val="single" w:sz="4" w:space="0" w:color="FFFFFF"/>
              <w:bottom w:val="single" w:sz="4" w:space="0" w:color="FFFFFF"/>
              <w:right w:val="single" w:sz="4" w:space="0" w:color="FFFFFF"/>
            </w:tcBorders>
            <w:vAlign w:val="center"/>
            <w:hideMark/>
          </w:tcPr>
          <w:p w:rsidR="00B168FC" w:rsidRPr="00B168FC" w:rsidRDefault="00B168FC" w:rsidP="00B168FC">
            <w:pPr>
              <w:spacing w:after="0" w:line="240" w:lineRule="auto"/>
              <w:rPr>
                <w:rFonts w:ascii="Calibri" w:eastAsia="Times New Roman" w:hAnsi="Calibri" w:cs="Calibri"/>
                <w:b/>
                <w:bCs/>
                <w:i/>
                <w:iCs/>
                <w:color w:val="FFFFFF" w:themeColor="background1"/>
                <w:sz w:val="28"/>
                <w:szCs w:val="28"/>
                <w:lang w:eastAsia="es-AR"/>
              </w:rPr>
            </w:pPr>
          </w:p>
        </w:tc>
        <w:tc>
          <w:tcPr>
            <w:tcW w:w="2668" w:type="dxa"/>
            <w:tcBorders>
              <w:top w:val="nil"/>
              <w:left w:val="nil"/>
              <w:bottom w:val="single" w:sz="4" w:space="0" w:color="FFFFFF"/>
              <w:right w:val="single" w:sz="4" w:space="0" w:color="FFFFFF"/>
            </w:tcBorders>
            <w:shd w:val="clear" w:color="000000" w:fill="16365C"/>
            <w:noWrap/>
            <w:vAlign w:val="bottom"/>
            <w:hideMark/>
          </w:tcPr>
          <w:p w:rsidR="00B168FC" w:rsidRPr="00B168FC" w:rsidRDefault="00B168FC" w:rsidP="00B168FC">
            <w:pPr>
              <w:spacing w:after="0" w:line="240" w:lineRule="auto"/>
              <w:jc w:val="center"/>
              <w:rPr>
                <w:rFonts w:ascii="Calibri" w:eastAsia="Times New Roman" w:hAnsi="Calibri" w:cs="Calibri"/>
                <w:b/>
                <w:bCs/>
                <w:color w:val="FFFFFF" w:themeColor="background1"/>
                <w:sz w:val="28"/>
                <w:szCs w:val="28"/>
                <w:lang w:eastAsia="es-AR"/>
              </w:rPr>
            </w:pPr>
            <w:r w:rsidRPr="00B168FC">
              <w:rPr>
                <w:rFonts w:ascii="Calibri" w:eastAsia="Times New Roman" w:hAnsi="Calibri" w:cs="Calibri"/>
                <w:b/>
                <w:bCs/>
                <w:color w:val="FFFFFF" w:themeColor="background1"/>
                <w:sz w:val="28"/>
                <w:szCs w:val="28"/>
                <w:lang w:eastAsia="es-AR"/>
              </w:rPr>
              <w:t>Rentabilidad nivelada</w:t>
            </w:r>
          </w:p>
        </w:tc>
        <w:tc>
          <w:tcPr>
            <w:tcW w:w="1849" w:type="dxa"/>
            <w:tcBorders>
              <w:top w:val="nil"/>
              <w:left w:val="nil"/>
              <w:bottom w:val="single" w:sz="4" w:space="0" w:color="FFFFFF"/>
              <w:right w:val="single" w:sz="4" w:space="0" w:color="FFFFFF"/>
            </w:tcBorders>
            <w:shd w:val="clear" w:color="000000" w:fill="16365C"/>
            <w:noWrap/>
            <w:vAlign w:val="bottom"/>
            <w:hideMark/>
          </w:tcPr>
          <w:p w:rsidR="00B168FC" w:rsidRPr="00B168FC" w:rsidRDefault="00B168FC" w:rsidP="00B168FC">
            <w:pPr>
              <w:spacing w:after="0" w:line="240" w:lineRule="auto"/>
              <w:jc w:val="center"/>
              <w:rPr>
                <w:rFonts w:ascii="Calibri" w:eastAsia="Times New Roman" w:hAnsi="Calibri" w:cs="Calibri"/>
                <w:b/>
                <w:bCs/>
                <w:color w:val="FFFFFF" w:themeColor="background1"/>
                <w:sz w:val="28"/>
                <w:szCs w:val="28"/>
                <w:lang w:eastAsia="es-AR"/>
              </w:rPr>
            </w:pPr>
            <w:r w:rsidRPr="00B168FC">
              <w:rPr>
                <w:rFonts w:ascii="Calibri" w:eastAsia="Times New Roman" w:hAnsi="Calibri" w:cs="Calibri"/>
                <w:b/>
                <w:bCs/>
                <w:color w:val="FFFFFF" w:themeColor="background1"/>
                <w:sz w:val="28"/>
                <w:szCs w:val="28"/>
                <w:lang w:eastAsia="es-AR"/>
              </w:rPr>
              <w:t>Rentabilidad no nivelada</w:t>
            </w:r>
          </w:p>
        </w:tc>
        <w:tc>
          <w:tcPr>
            <w:tcW w:w="2545" w:type="dxa"/>
            <w:vMerge/>
            <w:tcBorders>
              <w:top w:val="single" w:sz="4" w:space="0" w:color="FFFFFF"/>
              <w:left w:val="single" w:sz="4" w:space="0" w:color="FFFFFF"/>
              <w:bottom w:val="single" w:sz="4" w:space="0" w:color="FFFFFF"/>
              <w:right w:val="single" w:sz="4" w:space="0" w:color="FFFFFF"/>
            </w:tcBorders>
            <w:vAlign w:val="center"/>
            <w:hideMark/>
          </w:tcPr>
          <w:p w:rsidR="00B168FC" w:rsidRPr="00B168FC" w:rsidRDefault="00B168FC" w:rsidP="00B168FC">
            <w:pPr>
              <w:spacing w:after="0" w:line="240" w:lineRule="auto"/>
              <w:rPr>
                <w:rFonts w:ascii="Calibri" w:eastAsia="Times New Roman" w:hAnsi="Calibri" w:cs="Calibri"/>
                <w:b/>
                <w:bCs/>
                <w:color w:val="FFFFFF" w:themeColor="background1"/>
                <w:sz w:val="28"/>
                <w:szCs w:val="28"/>
                <w:lang w:eastAsia="es-AR"/>
              </w:rPr>
            </w:pPr>
          </w:p>
        </w:tc>
      </w:tr>
      <w:tr w:rsidR="00B168FC" w:rsidRPr="00B168FC" w:rsidTr="00226574">
        <w:trPr>
          <w:trHeight w:val="600"/>
        </w:trPr>
        <w:tc>
          <w:tcPr>
            <w:tcW w:w="2860" w:type="dxa"/>
            <w:tcBorders>
              <w:top w:val="nil"/>
              <w:left w:val="single" w:sz="4" w:space="0" w:color="auto"/>
              <w:bottom w:val="single" w:sz="4" w:space="0" w:color="auto"/>
              <w:right w:val="single" w:sz="4" w:space="0" w:color="auto"/>
            </w:tcBorders>
            <w:shd w:val="clear" w:color="auto" w:fill="auto"/>
            <w:vAlign w:val="center"/>
            <w:hideMark/>
          </w:tcPr>
          <w:p w:rsidR="00B168FC" w:rsidRPr="00B168FC" w:rsidRDefault="00B168FC" w:rsidP="00B168FC">
            <w:pPr>
              <w:spacing w:after="0" w:line="240" w:lineRule="auto"/>
              <w:rPr>
                <w:rFonts w:ascii="Calibri" w:eastAsia="Times New Roman" w:hAnsi="Calibri" w:cs="Calibri"/>
                <w:i/>
                <w:iCs/>
                <w:color w:val="000000"/>
                <w:lang w:eastAsia="es-AR"/>
              </w:rPr>
            </w:pPr>
            <w:r w:rsidRPr="00B168FC">
              <w:rPr>
                <w:rFonts w:ascii="Calibri" w:eastAsia="Times New Roman" w:hAnsi="Calibri" w:cs="Calibri"/>
                <w:i/>
                <w:iCs/>
                <w:color w:val="000000"/>
                <w:lang w:eastAsia="es-AR"/>
              </w:rPr>
              <w:t>Figura jurídica que enmarca la actividad</w:t>
            </w:r>
          </w:p>
        </w:tc>
        <w:tc>
          <w:tcPr>
            <w:tcW w:w="2668" w:type="dxa"/>
            <w:tcBorders>
              <w:top w:val="nil"/>
              <w:left w:val="nil"/>
              <w:bottom w:val="single" w:sz="4" w:space="0" w:color="auto"/>
              <w:right w:val="single" w:sz="4" w:space="0" w:color="auto"/>
            </w:tcBorders>
            <w:shd w:val="clear" w:color="auto" w:fill="auto"/>
            <w:vAlign w:val="center"/>
            <w:hideMark/>
          </w:tcPr>
          <w:p w:rsidR="00B168FC" w:rsidRPr="00B168FC" w:rsidRDefault="00B168FC" w:rsidP="00B168FC">
            <w:pPr>
              <w:spacing w:after="0" w:line="240" w:lineRule="auto"/>
              <w:jc w:val="center"/>
              <w:rPr>
                <w:rFonts w:ascii="Calibri" w:eastAsia="Times New Roman" w:hAnsi="Calibri" w:cs="Calibri"/>
                <w:color w:val="000000"/>
                <w:lang w:eastAsia="es-AR"/>
              </w:rPr>
            </w:pPr>
            <w:r w:rsidRPr="00B168FC">
              <w:rPr>
                <w:rFonts w:ascii="Calibri" w:eastAsia="Times New Roman" w:hAnsi="Calibri" w:cs="Calibri"/>
                <w:color w:val="000000"/>
                <w:lang w:eastAsia="es-AR"/>
              </w:rPr>
              <w:t>Permiso/concesión</w:t>
            </w:r>
          </w:p>
        </w:tc>
        <w:tc>
          <w:tcPr>
            <w:tcW w:w="1849" w:type="dxa"/>
            <w:tcBorders>
              <w:top w:val="nil"/>
              <w:left w:val="nil"/>
              <w:bottom w:val="single" w:sz="4" w:space="0" w:color="auto"/>
              <w:right w:val="single" w:sz="4" w:space="0" w:color="auto"/>
            </w:tcBorders>
            <w:shd w:val="clear" w:color="auto" w:fill="auto"/>
            <w:vAlign w:val="center"/>
            <w:hideMark/>
          </w:tcPr>
          <w:p w:rsidR="00B168FC" w:rsidRPr="00B168FC" w:rsidRDefault="00B168FC" w:rsidP="00B168FC">
            <w:pPr>
              <w:spacing w:after="0" w:line="240" w:lineRule="auto"/>
              <w:jc w:val="center"/>
              <w:rPr>
                <w:rFonts w:ascii="Calibri" w:eastAsia="Times New Roman" w:hAnsi="Calibri" w:cs="Calibri"/>
                <w:color w:val="000000"/>
                <w:lang w:eastAsia="es-AR"/>
              </w:rPr>
            </w:pPr>
            <w:r w:rsidRPr="00B168FC">
              <w:rPr>
                <w:rFonts w:ascii="Calibri" w:eastAsia="Times New Roman" w:hAnsi="Calibri" w:cs="Calibri"/>
                <w:color w:val="000000"/>
                <w:lang w:eastAsia="es-AR"/>
              </w:rPr>
              <w:t>Permiso/concesión</w:t>
            </w:r>
          </w:p>
        </w:tc>
        <w:tc>
          <w:tcPr>
            <w:tcW w:w="2545" w:type="dxa"/>
            <w:tcBorders>
              <w:top w:val="nil"/>
              <w:left w:val="nil"/>
              <w:bottom w:val="single" w:sz="4" w:space="0" w:color="auto"/>
              <w:right w:val="single" w:sz="4" w:space="0" w:color="auto"/>
            </w:tcBorders>
            <w:shd w:val="clear" w:color="auto" w:fill="auto"/>
            <w:vAlign w:val="center"/>
            <w:hideMark/>
          </w:tcPr>
          <w:p w:rsidR="00B168FC" w:rsidRPr="00B168FC" w:rsidRDefault="00B168FC" w:rsidP="00B168FC">
            <w:pPr>
              <w:spacing w:after="0" w:line="240" w:lineRule="auto"/>
              <w:jc w:val="center"/>
              <w:rPr>
                <w:rFonts w:ascii="Calibri" w:eastAsia="Times New Roman" w:hAnsi="Calibri" w:cs="Calibri"/>
                <w:color w:val="000000"/>
                <w:lang w:eastAsia="es-AR"/>
              </w:rPr>
            </w:pPr>
            <w:r w:rsidRPr="00B168FC">
              <w:rPr>
                <w:rFonts w:ascii="Calibri" w:eastAsia="Times New Roman" w:hAnsi="Calibri" w:cs="Calibri"/>
                <w:color w:val="000000"/>
                <w:lang w:eastAsia="es-AR"/>
              </w:rPr>
              <w:t>Permiso</w:t>
            </w:r>
          </w:p>
        </w:tc>
      </w:tr>
      <w:tr w:rsidR="00B168FC" w:rsidRPr="00B168FC" w:rsidTr="00226574">
        <w:trPr>
          <w:trHeight w:val="900"/>
        </w:trPr>
        <w:tc>
          <w:tcPr>
            <w:tcW w:w="2860" w:type="dxa"/>
            <w:tcBorders>
              <w:top w:val="nil"/>
              <w:left w:val="single" w:sz="4" w:space="0" w:color="auto"/>
              <w:bottom w:val="single" w:sz="4" w:space="0" w:color="auto"/>
              <w:right w:val="single" w:sz="4" w:space="0" w:color="auto"/>
            </w:tcBorders>
            <w:shd w:val="clear" w:color="auto" w:fill="auto"/>
            <w:vAlign w:val="center"/>
            <w:hideMark/>
          </w:tcPr>
          <w:p w:rsidR="00B168FC" w:rsidRPr="00B168FC" w:rsidRDefault="00B168FC" w:rsidP="00B168FC">
            <w:pPr>
              <w:spacing w:after="0" w:line="240" w:lineRule="auto"/>
              <w:rPr>
                <w:rFonts w:ascii="Calibri" w:eastAsia="Times New Roman" w:hAnsi="Calibri" w:cs="Calibri"/>
                <w:i/>
                <w:iCs/>
                <w:color w:val="000000"/>
                <w:lang w:eastAsia="es-AR"/>
              </w:rPr>
            </w:pPr>
            <w:r w:rsidRPr="00B168FC">
              <w:rPr>
                <w:rFonts w:ascii="Calibri" w:eastAsia="Times New Roman" w:hAnsi="Calibri" w:cs="Calibri"/>
                <w:i/>
                <w:iCs/>
                <w:color w:val="000000"/>
                <w:lang w:eastAsia="es-AR"/>
              </w:rPr>
              <w:t>Fijación de tarifas</w:t>
            </w:r>
          </w:p>
        </w:tc>
        <w:tc>
          <w:tcPr>
            <w:tcW w:w="2668" w:type="dxa"/>
            <w:tcBorders>
              <w:top w:val="nil"/>
              <w:left w:val="nil"/>
              <w:bottom w:val="single" w:sz="4" w:space="0" w:color="auto"/>
              <w:right w:val="single" w:sz="4" w:space="0" w:color="auto"/>
            </w:tcBorders>
            <w:shd w:val="clear" w:color="auto" w:fill="auto"/>
            <w:vAlign w:val="center"/>
            <w:hideMark/>
          </w:tcPr>
          <w:p w:rsidR="00B168FC" w:rsidRPr="00B168FC" w:rsidRDefault="00B168FC" w:rsidP="00B168FC">
            <w:pPr>
              <w:spacing w:after="0" w:line="240" w:lineRule="auto"/>
              <w:jc w:val="center"/>
              <w:rPr>
                <w:rFonts w:ascii="Calibri" w:eastAsia="Times New Roman" w:hAnsi="Calibri" w:cs="Calibri"/>
                <w:color w:val="000000"/>
                <w:lang w:eastAsia="es-AR"/>
              </w:rPr>
            </w:pPr>
            <w:r w:rsidRPr="00B168FC">
              <w:rPr>
                <w:rFonts w:ascii="Calibri" w:eastAsia="Times New Roman" w:hAnsi="Calibri" w:cs="Calibri"/>
                <w:color w:val="000000"/>
                <w:lang w:eastAsia="es-AR"/>
              </w:rPr>
              <w:t>Cuadro tarifario producido por la autoridad</w:t>
            </w:r>
          </w:p>
        </w:tc>
        <w:tc>
          <w:tcPr>
            <w:tcW w:w="1849" w:type="dxa"/>
            <w:tcBorders>
              <w:top w:val="nil"/>
              <w:left w:val="nil"/>
              <w:bottom w:val="single" w:sz="4" w:space="0" w:color="auto"/>
              <w:right w:val="single" w:sz="4" w:space="0" w:color="auto"/>
            </w:tcBorders>
            <w:shd w:val="clear" w:color="auto" w:fill="auto"/>
            <w:vAlign w:val="center"/>
            <w:hideMark/>
          </w:tcPr>
          <w:p w:rsidR="00B168FC" w:rsidRPr="00B168FC" w:rsidRDefault="00B168FC" w:rsidP="00B168FC">
            <w:pPr>
              <w:spacing w:after="0" w:line="240" w:lineRule="auto"/>
              <w:jc w:val="center"/>
              <w:rPr>
                <w:rFonts w:ascii="Calibri" w:eastAsia="Times New Roman" w:hAnsi="Calibri" w:cs="Calibri"/>
                <w:color w:val="000000"/>
                <w:lang w:eastAsia="es-AR"/>
              </w:rPr>
            </w:pPr>
            <w:r w:rsidRPr="00B168FC">
              <w:rPr>
                <w:rFonts w:ascii="Calibri" w:eastAsia="Times New Roman" w:hAnsi="Calibri" w:cs="Calibri"/>
                <w:color w:val="000000"/>
                <w:lang w:eastAsia="es-AR"/>
              </w:rPr>
              <w:t>Cuadro tarifario producido por la autoridad</w:t>
            </w:r>
          </w:p>
        </w:tc>
        <w:tc>
          <w:tcPr>
            <w:tcW w:w="2545" w:type="dxa"/>
            <w:tcBorders>
              <w:top w:val="nil"/>
              <w:left w:val="nil"/>
              <w:bottom w:val="single" w:sz="4" w:space="0" w:color="auto"/>
              <w:right w:val="single" w:sz="4" w:space="0" w:color="auto"/>
            </w:tcBorders>
            <w:shd w:val="clear" w:color="auto" w:fill="auto"/>
            <w:vAlign w:val="center"/>
            <w:hideMark/>
          </w:tcPr>
          <w:p w:rsidR="00B168FC" w:rsidRPr="00B168FC" w:rsidRDefault="00226574" w:rsidP="00B168FC">
            <w:pPr>
              <w:spacing w:after="0" w:line="240" w:lineRule="auto"/>
              <w:jc w:val="center"/>
              <w:rPr>
                <w:rFonts w:ascii="Calibri" w:eastAsia="Times New Roman" w:hAnsi="Calibri" w:cs="Calibri"/>
                <w:color w:val="000000"/>
                <w:lang w:eastAsia="es-AR"/>
              </w:rPr>
            </w:pPr>
            <w:r>
              <w:rPr>
                <w:rFonts w:ascii="Calibri" w:eastAsia="Times New Roman" w:hAnsi="Calibri" w:cs="Calibri"/>
                <w:color w:val="000000"/>
                <w:lang w:eastAsia="es-AR"/>
              </w:rPr>
              <w:t xml:space="preserve">Tarifa base fijada por la autoridad. </w:t>
            </w:r>
            <w:r w:rsidR="00B168FC" w:rsidRPr="00B168FC">
              <w:rPr>
                <w:rFonts w:ascii="Calibri" w:eastAsia="Times New Roman" w:hAnsi="Calibri" w:cs="Calibri"/>
                <w:color w:val="000000"/>
                <w:lang w:eastAsia="es-AR"/>
              </w:rPr>
              <w:t>Cuadro tarifario elaborado por el operador</w:t>
            </w:r>
            <w:r>
              <w:rPr>
                <w:rFonts w:ascii="Calibri" w:eastAsia="Times New Roman" w:hAnsi="Calibri" w:cs="Calibri"/>
                <w:color w:val="000000"/>
                <w:lang w:eastAsia="es-AR"/>
              </w:rPr>
              <w:t xml:space="preserve"> (secciones)</w:t>
            </w:r>
          </w:p>
        </w:tc>
      </w:tr>
      <w:tr w:rsidR="00B168FC" w:rsidRPr="00B168FC" w:rsidTr="00226574">
        <w:trPr>
          <w:trHeight w:val="600"/>
        </w:trPr>
        <w:tc>
          <w:tcPr>
            <w:tcW w:w="2860" w:type="dxa"/>
            <w:tcBorders>
              <w:top w:val="nil"/>
              <w:left w:val="single" w:sz="4" w:space="0" w:color="auto"/>
              <w:bottom w:val="single" w:sz="4" w:space="0" w:color="auto"/>
              <w:right w:val="single" w:sz="4" w:space="0" w:color="auto"/>
            </w:tcBorders>
            <w:shd w:val="clear" w:color="auto" w:fill="auto"/>
            <w:vAlign w:val="center"/>
            <w:hideMark/>
          </w:tcPr>
          <w:p w:rsidR="00B168FC" w:rsidRPr="00B168FC" w:rsidRDefault="00B168FC" w:rsidP="00B168FC">
            <w:pPr>
              <w:spacing w:after="0" w:line="240" w:lineRule="auto"/>
              <w:rPr>
                <w:rFonts w:ascii="Calibri" w:eastAsia="Times New Roman" w:hAnsi="Calibri" w:cs="Calibri"/>
                <w:i/>
                <w:iCs/>
                <w:color w:val="000000"/>
                <w:lang w:eastAsia="es-AR"/>
              </w:rPr>
            </w:pPr>
            <w:r w:rsidRPr="00B168FC">
              <w:rPr>
                <w:rFonts w:ascii="Calibri" w:eastAsia="Times New Roman" w:hAnsi="Calibri" w:cs="Calibri"/>
                <w:i/>
                <w:iCs/>
                <w:color w:val="000000"/>
                <w:lang w:eastAsia="es-AR"/>
              </w:rPr>
              <w:t>Alcance e iniciativa en la fijación de recorridos por parte del concedente</w:t>
            </w:r>
          </w:p>
        </w:tc>
        <w:tc>
          <w:tcPr>
            <w:tcW w:w="2668" w:type="dxa"/>
            <w:tcBorders>
              <w:top w:val="nil"/>
              <w:left w:val="nil"/>
              <w:bottom w:val="single" w:sz="4" w:space="0" w:color="auto"/>
              <w:right w:val="single" w:sz="4" w:space="0" w:color="auto"/>
            </w:tcBorders>
            <w:shd w:val="clear" w:color="auto" w:fill="auto"/>
            <w:vAlign w:val="center"/>
            <w:hideMark/>
          </w:tcPr>
          <w:p w:rsidR="00B168FC" w:rsidRPr="00B168FC" w:rsidRDefault="00B168FC" w:rsidP="00B168FC">
            <w:pPr>
              <w:spacing w:after="0" w:line="240" w:lineRule="auto"/>
              <w:jc w:val="center"/>
              <w:rPr>
                <w:rFonts w:ascii="Calibri" w:eastAsia="Times New Roman" w:hAnsi="Calibri" w:cs="Calibri"/>
                <w:color w:val="000000"/>
                <w:lang w:eastAsia="es-AR"/>
              </w:rPr>
            </w:pPr>
            <w:r w:rsidRPr="00B168FC">
              <w:rPr>
                <w:rFonts w:ascii="Calibri" w:eastAsia="Times New Roman" w:hAnsi="Calibri" w:cs="Calibri"/>
                <w:color w:val="000000"/>
                <w:lang w:eastAsia="es-AR"/>
              </w:rPr>
              <w:t>Autoridad</w:t>
            </w:r>
          </w:p>
        </w:tc>
        <w:tc>
          <w:tcPr>
            <w:tcW w:w="1849" w:type="dxa"/>
            <w:tcBorders>
              <w:top w:val="nil"/>
              <w:left w:val="nil"/>
              <w:bottom w:val="single" w:sz="4" w:space="0" w:color="auto"/>
              <w:right w:val="single" w:sz="4" w:space="0" w:color="auto"/>
            </w:tcBorders>
            <w:shd w:val="clear" w:color="auto" w:fill="auto"/>
            <w:vAlign w:val="center"/>
            <w:hideMark/>
          </w:tcPr>
          <w:p w:rsidR="00B168FC" w:rsidRPr="00B168FC" w:rsidRDefault="00B168FC" w:rsidP="00B168FC">
            <w:pPr>
              <w:spacing w:after="0" w:line="240" w:lineRule="auto"/>
              <w:jc w:val="center"/>
              <w:rPr>
                <w:rFonts w:ascii="Calibri" w:eastAsia="Times New Roman" w:hAnsi="Calibri" w:cs="Calibri"/>
                <w:color w:val="000000"/>
                <w:lang w:eastAsia="es-AR"/>
              </w:rPr>
            </w:pPr>
            <w:r w:rsidRPr="00B168FC">
              <w:rPr>
                <w:rFonts w:ascii="Calibri" w:eastAsia="Times New Roman" w:hAnsi="Calibri" w:cs="Calibri"/>
                <w:color w:val="000000"/>
                <w:lang w:eastAsia="es-AR"/>
              </w:rPr>
              <w:t>Autoridad</w:t>
            </w:r>
          </w:p>
        </w:tc>
        <w:tc>
          <w:tcPr>
            <w:tcW w:w="2545" w:type="dxa"/>
            <w:tcBorders>
              <w:top w:val="nil"/>
              <w:left w:val="nil"/>
              <w:bottom w:val="single" w:sz="4" w:space="0" w:color="auto"/>
              <w:right w:val="single" w:sz="4" w:space="0" w:color="auto"/>
            </w:tcBorders>
            <w:shd w:val="clear" w:color="auto" w:fill="auto"/>
            <w:vAlign w:val="center"/>
            <w:hideMark/>
          </w:tcPr>
          <w:p w:rsidR="00B168FC" w:rsidRPr="00B168FC" w:rsidRDefault="00B168FC" w:rsidP="00B168FC">
            <w:pPr>
              <w:spacing w:after="0" w:line="240" w:lineRule="auto"/>
              <w:jc w:val="center"/>
              <w:rPr>
                <w:rFonts w:ascii="Calibri" w:eastAsia="Times New Roman" w:hAnsi="Calibri" w:cs="Calibri"/>
                <w:color w:val="000000"/>
                <w:lang w:eastAsia="es-AR"/>
              </w:rPr>
            </w:pPr>
            <w:r w:rsidRPr="00B168FC">
              <w:rPr>
                <w:rFonts w:ascii="Calibri" w:eastAsia="Times New Roman" w:hAnsi="Calibri" w:cs="Calibri"/>
                <w:color w:val="000000"/>
                <w:lang w:eastAsia="es-AR"/>
              </w:rPr>
              <w:t>Operador</w:t>
            </w:r>
          </w:p>
        </w:tc>
      </w:tr>
      <w:tr w:rsidR="00B168FC" w:rsidRPr="00B168FC" w:rsidTr="00226574">
        <w:trPr>
          <w:trHeight w:val="900"/>
        </w:trPr>
        <w:tc>
          <w:tcPr>
            <w:tcW w:w="2860" w:type="dxa"/>
            <w:tcBorders>
              <w:top w:val="nil"/>
              <w:left w:val="single" w:sz="4" w:space="0" w:color="auto"/>
              <w:bottom w:val="single" w:sz="4" w:space="0" w:color="auto"/>
              <w:right w:val="single" w:sz="4" w:space="0" w:color="auto"/>
            </w:tcBorders>
            <w:shd w:val="clear" w:color="auto" w:fill="auto"/>
            <w:vAlign w:val="center"/>
            <w:hideMark/>
          </w:tcPr>
          <w:p w:rsidR="00B168FC" w:rsidRPr="00B168FC" w:rsidRDefault="00B168FC" w:rsidP="00B168FC">
            <w:pPr>
              <w:spacing w:after="0" w:line="240" w:lineRule="auto"/>
              <w:rPr>
                <w:rFonts w:ascii="Calibri" w:eastAsia="Times New Roman" w:hAnsi="Calibri" w:cs="Calibri"/>
                <w:i/>
                <w:iCs/>
                <w:color w:val="000000"/>
                <w:lang w:eastAsia="es-AR"/>
              </w:rPr>
            </w:pPr>
            <w:r w:rsidRPr="00B168FC">
              <w:rPr>
                <w:rFonts w:ascii="Calibri" w:eastAsia="Times New Roman" w:hAnsi="Calibri" w:cs="Calibri"/>
                <w:i/>
                <w:iCs/>
                <w:color w:val="000000"/>
                <w:lang w:eastAsia="es-AR"/>
              </w:rPr>
              <w:t>Destino de la recaudación y forma de remuneración al operador</w:t>
            </w:r>
          </w:p>
        </w:tc>
        <w:tc>
          <w:tcPr>
            <w:tcW w:w="2668" w:type="dxa"/>
            <w:tcBorders>
              <w:top w:val="nil"/>
              <w:left w:val="nil"/>
              <w:bottom w:val="single" w:sz="4" w:space="0" w:color="auto"/>
              <w:right w:val="single" w:sz="4" w:space="0" w:color="auto"/>
            </w:tcBorders>
            <w:shd w:val="clear" w:color="auto" w:fill="auto"/>
            <w:vAlign w:val="center"/>
            <w:hideMark/>
          </w:tcPr>
          <w:p w:rsidR="00B168FC" w:rsidRPr="00B168FC" w:rsidRDefault="00B168FC" w:rsidP="00B168FC">
            <w:pPr>
              <w:spacing w:after="0" w:line="240" w:lineRule="auto"/>
              <w:jc w:val="center"/>
              <w:rPr>
                <w:rFonts w:ascii="Calibri" w:eastAsia="Times New Roman" w:hAnsi="Calibri" w:cs="Calibri"/>
                <w:color w:val="000000"/>
                <w:lang w:eastAsia="es-AR"/>
              </w:rPr>
            </w:pPr>
            <w:r w:rsidRPr="00B168FC">
              <w:rPr>
                <w:rFonts w:ascii="Calibri" w:eastAsia="Times New Roman" w:hAnsi="Calibri" w:cs="Calibri"/>
                <w:color w:val="000000"/>
                <w:lang w:eastAsia="es-AR"/>
              </w:rPr>
              <w:t>Recaudación centralizada por la autoridad-Pago por servicio prestado al operador</w:t>
            </w:r>
          </w:p>
        </w:tc>
        <w:tc>
          <w:tcPr>
            <w:tcW w:w="1849" w:type="dxa"/>
            <w:tcBorders>
              <w:top w:val="nil"/>
              <w:left w:val="nil"/>
              <w:bottom w:val="single" w:sz="4" w:space="0" w:color="auto"/>
              <w:right w:val="single" w:sz="4" w:space="0" w:color="auto"/>
            </w:tcBorders>
            <w:shd w:val="clear" w:color="auto" w:fill="auto"/>
            <w:vAlign w:val="center"/>
            <w:hideMark/>
          </w:tcPr>
          <w:p w:rsidR="00B168FC" w:rsidRPr="00B168FC" w:rsidRDefault="00B168FC" w:rsidP="00B168FC">
            <w:pPr>
              <w:spacing w:after="0" w:line="240" w:lineRule="auto"/>
              <w:jc w:val="center"/>
              <w:rPr>
                <w:rFonts w:ascii="Calibri" w:eastAsia="Times New Roman" w:hAnsi="Calibri" w:cs="Calibri"/>
                <w:color w:val="000000"/>
                <w:lang w:eastAsia="es-AR"/>
              </w:rPr>
            </w:pPr>
            <w:r w:rsidRPr="00B168FC">
              <w:rPr>
                <w:rFonts w:ascii="Calibri" w:eastAsia="Times New Roman" w:hAnsi="Calibri" w:cs="Calibri"/>
                <w:color w:val="000000"/>
                <w:lang w:eastAsia="es-AR"/>
              </w:rPr>
              <w:t>Recaudación recibida por el operador</w:t>
            </w:r>
          </w:p>
        </w:tc>
        <w:tc>
          <w:tcPr>
            <w:tcW w:w="2545" w:type="dxa"/>
            <w:tcBorders>
              <w:top w:val="nil"/>
              <w:left w:val="nil"/>
              <w:bottom w:val="single" w:sz="4" w:space="0" w:color="auto"/>
              <w:right w:val="single" w:sz="4" w:space="0" w:color="auto"/>
            </w:tcBorders>
            <w:shd w:val="clear" w:color="auto" w:fill="auto"/>
            <w:vAlign w:val="center"/>
            <w:hideMark/>
          </w:tcPr>
          <w:p w:rsidR="00B168FC" w:rsidRPr="00B168FC" w:rsidRDefault="00B168FC" w:rsidP="00B168FC">
            <w:pPr>
              <w:spacing w:after="0" w:line="240" w:lineRule="auto"/>
              <w:jc w:val="center"/>
              <w:rPr>
                <w:rFonts w:ascii="Calibri" w:eastAsia="Times New Roman" w:hAnsi="Calibri" w:cs="Calibri"/>
                <w:color w:val="000000"/>
                <w:lang w:eastAsia="es-AR"/>
              </w:rPr>
            </w:pPr>
            <w:r w:rsidRPr="00B168FC">
              <w:rPr>
                <w:rFonts w:ascii="Calibri" w:eastAsia="Times New Roman" w:hAnsi="Calibri" w:cs="Calibri"/>
                <w:color w:val="000000"/>
                <w:lang w:eastAsia="es-AR"/>
              </w:rPr>
              <w:t>Recaudación recibida por el operador</w:t>
            </w:r>
          </w:p>
        </w:tc>
      </w:tr>
      <w:tr w:rsidR="00B168FC" w:rsidRPr="00B168FC" w:rsidTr="00226574">
        <w:trPr>
          <w:trHeight w:val="600"/>
        </w:trPr>
        <w:tc>
          <w:tcPr>
            <w:tcW w:w="2860" w:type="dxa"/>
            <w:tcBorders>
              <w:top w:val="nil"/>
              <w:left w:val="single" w:sz="4" w:space="0" w:color="auto"/>
              <w:bottom w:val="single" w:sz="4" w:space="0" w:color="auto"/>
              <w:right w:val="single" w:sz="4" w:space="0" w:color="auto"/>
            </w:tcBorders>
            <w:shd w:val="clear" w:color="auto" w:fill="auto"/>
            <w:vAlign w:val="center"/>
            <w:hideMark/>
          </w:tcPr>
          <w:p w:rsidR="00B168FC" w:rsidRPr="00B168FC" w:rsidRDefault="00B168FC" w:rsidP="00B168FC">
            <w:pPr>
              <w:spacing w:after="0" w:line="240" w:lineRule="auto"/>
              <w:rPr>
                <w:rFonts w:ascii="Calibri" w:eastAsia="Times New Roman" w:hAnsi="Calibri" w:cs="Calibri"/>
                <w:i/>
                <w:iCs/>
                <w:color w:val="000000"/>
                <w:lang w:eastAsia="es-AR"/>
              </w:rPr>
            </w:pPr>
            <w:r w:rsidRPr="00B168FC">
              <w:rPr>
                <w:rFonts w:ascii="Calibri" w:eastAsia="Times New Roman" w:hAnsi="Calibri" w:cs="Calibri"/>
                <w:i/>
                <w:iCs/>
                <w:color w:val="000000"/>
                <w:lang w:eastAsia="es-AR"/>
              </w:rPr>
              <w:t>Criterios de adjudicación y renovación de los permisos o concesiones</w:t>
            </w:r>
          </w:p>
        </w:tc>
        <w:tc>
          <w:tcPr>
            <w:tcW w:w="2668" w:type="dxa"/>
            <w:tcBorders>
              <w:top w:val="nil"/>
              <w:left w:val="nil"/>
              <w:bottom w:val="single" w:sz="4" w:space="0" w:color="auto"/>
              <w:right w:val="single" w:sz="4" w:space="0" w:color="auto"/>
            </w:tcBorders>
            <w:shd w:val="clear" w:color="auto" w:fill="auto"/>
            <w:vAlign w:val="center"/>
            <w:hideMark/>
          </w:tcPr>
          <w:p w:rsidR="00B168FC" w:rsidRPr="00B168FC" w:rsidRDefault="00B168FC" w:rsidP="00B168FC">
            <w:pPr>
              <w:spacing w:after="0" w:line="240" w:lineRule="auto"/>
              <w:jc w:val="center"/>
              <w:rPr>
                <w:rFonts w:ascii="Calibri" w:eastAsia="Times New Roman" w:hAnsi="Calibri" w:cs="Calibri"/>
                <w:color w:val="000000"/>
                <w:lang w:eastAsia="es-AR"/>
              </w:rPr>
            </w:pPr>
            <w:r w:rsidRPr="00B168FC">
              <w:rPr>
                <w:rFonts w:ascii="Calibri" w:eastAsia="Times New Roman" w:hAnsi="Calibri" w:cs="Calibri"/>
                <w:color w:val="000000"/>
                <w:lang w:eastAsia="es-AR"/>
              </w:rPr>
              <w:t xml:space="preserve">Licitación con ventaja al </w:t>
            </w:r>
            <w:proofErr w:type="spellStart"/>
            <w:r w:rsidRPr="00B168FC">
              <w:rPr>
                <w:rFonts w:ascii="Calibri" w:eastAsia="Times New Roman" w:hAnsi="Calibri" w:cs="Calibri"/>
                <w:color w:val="000000"/>
                <w:lang w:eastAsia="es-AR"/>
              </w:rPr>
              <w:t>incumbente</w:t>
            </w:r>
            <w:proofErr w:type="spellEnd"/>
          </w:p>
        </w:tc>
        <w:tc>
          <w:tcPr>
            <w:tcW w:w="1849" w:type="dxa"/>
            <w:tcBorders>
              <w:top w:val="nil"/>
              <w:left w:val="nil"/>
              <w:bottom w:val="single" w:sz="4" w:space="0" w:color="auto"/>
              <w:right w:val="single" w:sz="4" w:space="0" w:color="auto"/>
            </w:tcBorders>
            <w:shd w:val="clear" w:color="auto" w:fill="auto"/>
            <w:vAlign w:val="center"/>
            <w:hideMark/>
          </w:tcPr>
          <w:p w:rsidR="00B168FC" w:rsidRPr="00B168FC" w:rsidRDefault="00B168FC" w:rsidP="00B168FC">
            <w:pPr>
              <w:spacing w:after="0" w:line="240" w:lineRule="auto"/>
              <w:jc w:val="center"/>
              <w:rPr>
                <w:rFonts w:ascii="Calibri" w:eastAsia="Times New Roman" w:hAnsi="Calibri" w:cs="Calibri"/>
                <w:color w:val="000000"/>
                <w:lang w:eastAsia="es-AR"/>
              </w:rPr>
            </w:pPr>
            <w:r w:rsidRPr="00B168FC">
              <w:rPr>
                <w:rFonts w:ascii="Calibri" w:eastAsia="Times New Roman" w:hAnsi="Calibri" w:cs="Calibri"/>
                <w:color w:val="000000"/>
                <w:lang w:eastAsia="es-AR"/>
              </w:rPr>
              <w:t xml:space="preserve">Licitación con ventaja al </w:t>
            </w:r>
            <w:proofErr w:type="spellStart"/>
            <w:r w:rsidRPr="00B168FC">
              <w:rPr>
                <w:rFonts w:ascii="Calibri" w:eastAsia="Times New Roman" w:hAnsi="Calibri" w:cs="Calibri"/>
                <w:color w:val="000000"/>
                <w:lang w:eastAsia="es-AR"/>
              </w:rPr>
              <w:t>incumbente</w:t>
            </w:r>
            <w:proofErr w:type="spellEnd"/>
          </w:p>
        </w:tc>
        <w:tc>
          <w:tcPr>
            <w:tcW w:w="2545" w:type="dxa"/>
            <w:tcBorders>
              <w:top w:val="nil"/>
              <w:left w:val="nil"/>
              <w:bottom w:val="single" w:sz="4" w:space="0" w:color="auto"/>
              <w:right w:val="single" w:sz="4" w:space="0" w:color="auto"/>
            </w:tcBorders>
            <w:shd w:val="clear" w:color="auto" w:fill="auto"/>
            <w:vAlign w:val="center"/>
            <w:hideMark/>
          </w:tcPr>
          <w:p w:rsidR="00B168FC" w:rsidRPr="00B168FC" w:rsidRDefault="00B168FC" w:rsidP="00B168FC">
            <w:pPr>
              <w:spacing w:after="0" w:line="240" w:lineRule="auto"/>
              <w:jc w:val="center"/>
              <w:rPr>
                <w:rFonts w:ascii="Calibri" w:eastAsia="Times New Roman" w:hAnsi="Calibri" w:cs="Calibri"/>
                <w:color w:val="000000"/>
                <w:lang w:eastAsia="es-AR"/>
              </w:rPr>
            </w:pPr>
            <w:r w:rsidRPr="00B168FC">
              <w:rPr>
                <w:rFonts w:ascii="Calibri" w:eastAsia="Times New Roman" w:hAnsi="Calibri" w:cs="Calibri"/>
                <w:color w:val="000000"/>
                <w:lang w:eastAsia="es-AR"/>
              </w:rPr>
              <w:t>Renovación sin licitación</w:t>
            </w:r>
          </w:p>
        </w:tc>
      </w:tr>
    </w:tbl>
    <w:p w:rsidR="0072203F" w:rsidRDefault="0072203F" w:rsidP="0072203F">
      <w:pPr>
        <w:tabs>
          <w:tab w:val="left" w:pos="6075"/>
        </w:tabs>
      </w:pPr>
    </w:p>
    <w:p w:rsidR="00257F01" w:rsidRDefault="00257F01" w:rsidP="00257F01">
      <w:pPr>
        <w:pStyle w:val="Prrafodelista"/>
        <w:numPr>
          <w:ilvl w:val="0"/>
          <w:numId w:val="1"/>
        </w:numPr>
        <w:jc w:val="both"/>
      </w:pPr>
      <w:r>
        <w:t>Las diferencias sustantivas entre los distintos modelos son las siguientes:</w:t>
      </w:r>
    </w:p>
    <w:p w:rsidR="00257F01" w:rsidRDefault="00257F01" w:rsidP="00257F01">
      <w:pPr>
        <w:pStyle w:val="Prrafodelista"/>
        <w:numPr>
          <w:ilvl w:val="0"/>
          <w:numId w:val="7"/>
        </w:numPr>
        <w:tabs>
          <w:tab w:val="left" w:pos="6075"/>
        </w:tabs>
      </w:pPr>
      <w:r>
        <w:lastRenderedPageBreak/>
        <w:t>En el modelo de rentabilidad nivelada, la redistribución de ingresos entre operadores permite nivelar las rentabilidades. Asimismo, le da la posibilidad a la autoridad para diseñar la red a su criterio, puesto que los resultados que obtiene el operador son indiferentes a sus niveles de tráfico; desaparece así el conflicto entre operadores por el “piso”.</w:t>
      </w:r>
    </w:p>
    <w:p w:rsidR="00257F01" w:rsidRDefault="00257F01" w:rsidP="001D7098">
      <w:pPr>
        <w:pStyle w:val="Prrafodelista"/>
        <w:numPr>
          <w:ilvl w:val="0"/>
          <w:numId w:val="7"/>
        </w:numPr>
        <w:tabs>
          <w:tab w:val="left" w:pos="6075"/>
        </w:tabs>
      </w:pPr>
      <w:r>
        <w:t xml:space="preserve">En el modelo de regulación pasiva, el desarrollo de la red queda a cargo del operador. Esto le evita a la autoridad el trabajo de relevar la demanda y diseñar el servicio; </w:t>
      </w:r>
      <w:r w:rsidR="003D4D0F">
        <w:t>el operador desarrolla así una “Intuición” acerca de dónde puede encontrar demanda que convenga atender (por lo general, no más de una intuición sin un fundamento sistemático). D</w:t>
      </w:r>
      <w:r>
        <w:t xml:space="preserve">e allí que la noción de “permiso” sea más adecuada que la de concesión, porque ésta última supone </w:t>
      </w:r>
      <w:r w:rsidR="003D4D0F">
        <w:t>que la autoridad diseña y concede la oferta de prestaciones. Este modelo requiere inevitablemente de rentabilidades no niveladas, por cuanto allí reside el incentivo para el desarrollo de la red.</w:t>
      </w:r>
    </w:p>
    <w:p w:rsidR="00257F01" w:rsidRDefault="00257F01" w:rsidP="00257F01">
      <w:pPr>
        <w:pStyle w:val="Prrafodelista"/>
        <w:tabs>
          <w:tab w:val="left" w:pos="6075"/>
        </w:tabs>
        <w:ind w:left="1080"/>
      </w:pPr>
    </w:p>
    <w:p w:rsidR="00B168FC" w:rsidRDefault="00B168FC" w:rsidP="00B168FC">
      <w:pPr>
        <w:pStyle w:val="Prrafodelista"/>
        <w:numPr>
          <w:ilvl w:val="0"/>
          <w:numId w:val="1"/>
        </w:numPr>
        <w:jc w:val="both"/>
      </w:pPr>
      <w:r>
        <w:t>Como es lógico, este cuadro sólo sintetiza tres de muchos de los casos posibles</w:t>
      </w:r>
      <w:r w:rsidR="008B2FB5">
        <w:t>. En particular, podemos mencionar las siguientes variantes</w:t>
      </w:r>
      <w:r w:rsidR="0063722B">
        <w:t>, que se verifican en la práctica, en lo que atañe a la definición de recorridos</w:t>
      </w:r>
      <w:r w:rsidR="008B2FB5">
        <w:t>:</w:t>
      </w:r>
    </w:p>
    <w:p w:rsidR="008B2FB5" w:rsidRDefault="008B2FB5" w:rsidP="0063722B">
      <w:pPr>
        <w:pStyle w:val="Prrafodelista"/>
        <w:numPr>
          <w:ilvl w:val="2"/>
          <w:numId w:val="1"/>
        </w:numPr>
        <w:ind w:left="1276"/>
        <w:jc w:val="both"/>
      </w:pPr>
      <w:r>
        <w:t>la autoridad identifica recorridos de líneas troncales, dejando la definición de las alimentadoras a cargo del concesionario. Este sistema presupone una suerte de monopolio por zona</w:t>
      </w:r>
      <w:r w:rsidR="0063722B">
        <w:t xml:space="preserve"> (Ciudad de Córdoba)</w:t>
      </w:r>
      <w:r>
        <w:t>.</w:t>
      </w:r>
    </w:p>
    <w:p w:rsidR="00257F01" w:rsidRDefault="00257F01" w:rsidP="0063722B">
      <w:pPr>
        <w:pStyle w:val="Prrafodelista"/>
        <w:numPr>
          <w:ilvl w:val="2"/>
          <w:numId w:val="1"/>
        </w:numPr>
        <w:ind w:left="1276"/>
        <w:jc w:val="both"/>
      </w:pPr>
      <w:r>
        <w:t>La existencia de una empresa estatal permite cubrir recorridos de baja rentabilidad, cubriéndose el déficit originado mediante recursos fiscales (Córdoba, Rosario).</w:t>
      </w:r>
    </w:p>
    <w:p w:rsidR="0063722B" w:rsidRDefault="0060375C" w:rsidP="0063722B">
      <w:pPr>
        <w:pStyle w:val="Prrafodelista"/>
        <w:numPr>
          <w:ilvl w:val="2"/>
          <w:numId w:val="1"/>
        </w:numPr>
        <w:ind w:left="1276"/>
        <w:jc w:val="both"/>
      </w:pPr>
      <w:r>
        <w:t xml:space="preserve">los operadores pueden definir prestaciones de tipo </w:t>
      </w:r>
      <w:proofErr w:type="spellStart"/>
      <w:r>
        <w:t>semi</w:t>
      </w:r>
      <w:proofErr w:type="spellEnd"/>
      <w:r>
        <w:t>-rápido o tramo a tramo, sin autorización explícita; la tarifa se encuentra regulada</w:t>
      </w:r>
      <w:r w:rsidR="0063722B">
        <w:t xml:space="preserve"> (</w:t>
      </w:r>
      <w:r w:rsidR="0063722B">
        <w:t>Región Metropolitana de Buenos Aires</w:t>
      </w:r>
      <w:r w:rsidR="0063722B">
        <w:t>)</w:t>
      </w:r>
      <w:r>
        <w:t xml:space="preserve">. </w:t>
      </w:r>
    </w:p>
    <w:p w:rsidR="008B2FB5" w:rsidRDefault="0060375C" w:rsidP="0063722B">
      <w:pPr>
        <w:pStyle w:val="Prrafodelista"/>
        <w:numPr>
          <w:ilvl w:val="2"/>
          <w:numId w:val="1"/>
        </w:numPr>
        <w:ind w:left="1276"/>
        <w:jc w:val="both"/>
      </w:pPr>
      <w:r>
        <w:t>pueden prestarse servicios diferenciales sobre las trazas de los servicios permitidos, sin autorización explícita, a tarifa liberada</w:t>
      </w:r>
      <w:r w:rsidR="0063722B">
        <w:t xml:space="preserve"> </w:t>
      </w:r>
      <w:r w:rsidR="0063722B">
        <w:t>(Región Metropolitana de Buenos Aires)</w:t>
      </w:r>
      <w:r w:rsidR="0063722B">
        <w:t>.</w:t>
      </w:r>
    </w:p>
    <w:p w:rsidR="00257F01" w:rsidRDefault="00257F01" w:rsidP="0063722B">
      <w:pPr>
        <w:pStyle w:val="Prrafodelista"/>
        <w:numPr>
          <w:ilvl w:val="2"/>
          <w:numId w:val="1"/>
        </w:numPr>
        <w:ind w:left="1276"/>
        <w:jc w:val="both"/>
      </w:pPr>
      <w:r>
        <w:t>en un modelo con recaudación centralizada, puede reconocerse al prestador un porcentaje modesto de la recaudación, como incentivo para una mejor atención de los pasajeros (evitar el “</w:t>
      </w:r>
      <w:bookmarkStart w:id="3" w:name="_GoBack"/>
      <w:bookmarkEnd w:id="3"/>
      <w:r>
        <w:t>seguir de largo” en las paradas).</w:t>
      </w:r>
    </w:p>
    <w:p w:rsidR="00257F01" w:rsidRDefault="00257F01" w:rsidP="00257F01">
      <w:pPr>
        <w:pStyle w:val="Prrafodelista"/>
        <w:numPr>
          <w:ilvl w:val="0"/>
          <w:numId w:val="6"/>
        </w:numPr>
        <w:jc w:val="both"/>
      </w:pPr>
    </w:p>
    <w:p w:rsidR="008B2FB5" w:rsidRPr="0072203F" w:rsidRDefault="008B2FB5" w:rsidP="00B965BD">
      <w:pPr>
        <w:jc w:val="both"/>
      </w:pPr>
    </w:p>
    <w:sectPr w:rsidR="008B2FB5" w:rsidRPr="0072203F" w:rsidSect="00B168FC">
      <w:pgSz w:w="12240" w:h="15840"/>
      <w:pgMar w:top="1417" w:right="1701" w:bottom="141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1323F"/>
    <w:multiLevelType w:val="hybridMultilevel"/>
    <w:tmpl w:val="CDB4FA52"/>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1">
    <w:nsid w:val="28B84FD9"/>
    <w:multiLevelType w:val="hybridMultilevel"/>
    <w:tmpl w:val="12465CE8"/>
    <w:lvl w:ilvl="0" w:tplc="2C0A0001">
      <w:start w:val="1"/>
      <w:numFmt w:val="bullet"/>
      <w:lvlText w:val=""/>
      <w:lvlJc w:val="left"/>
      <w:pPr>
        <w:ind w:left="780" w:hanging="360"/>
      </w:pPr>
      <w:rPr>
        <w:rFonts w:ascii="Symbol" w:hAnsi="Symbol" w:hint="default"/>
      </w:rPr>
    </w:lvl>
    <w:lvl w:ilvl="1" w:tplc="2C0A0003" w:tentative="1">
      <w:start w:val="1"/>
      <w:numFmt w:val="bullet"/>
      <w:lvlText w:val="o"/>
      <w:lvlJc w:val="left"/>
      <w:pPr>
        <w:ind w:left="1500" w:hanging="360"/>
      </w:pPr>
      <w:rPr>
        <w:rFonts w:ascii="Courier New" w:hAnsi="Courier New" w:cs="Courier New" w:hint="default"/>
      </w:rPr>
    </w:lvl>
    <w:lvl w:ilvl="2" w:tplc="2C0A0005" w:tentative="1">
      <w:start w:val="1"/>
      <w:numFmt w:val="bullet"/>
      <w:lvlText w:val=""/>
      <w:lvlJc w:val="left"/>
      <w:pPr>
        <w:ind w:left="2220" w:hanging="360"/>
      </w:pPr>
      <w:rPr>
        <w:rFonts w:ascii="Wingdings" w:hAnsi="Wingdings" w:hint="default"/>
      </w:rPr>
    </w:lvl>
    <w:lvl w:ilvl="3" w:tplc="2C0A0001" w:tentative="1">
      <w:start w:val="1"/>
      <w:numFmt w:val="bullet"/>
      <w:lvlText w:val=""/>
      <w:lvlJc w:val="left"/>
      <w:pPr>
        <w:ind w:left="2940" w:hanging="360"/>
      </w:pPr>
      <w:rPr>
        <w:rFonts w:ascii="Symbol" w:hAnsi="Symbol" w:hint="default"/>
      </w:rPr>
    </w:lvl>
    <w:lvl w:ilvl="4" w:tplc="2C0A0003" w:tentative="1">
      <w:start w:val="1"/>
      <w:numFmt w:val="bullet"/>
      <w:lvlText w:val="o"/>
      <w:lvlJc w:val="left"/>
      <w:pPr>
        <w:ind w:left="3660" w:hanging="360"/>
      </w:pPr>
      <w:rPr>
        <w:rFonts w:ascii="Courier New" w:hAnsi="Courier New" w:cs="Courier New" w:hint="default"/>
      </w:rPr>
    </w:lvl>
    <w:lvl w:ilvl="5" w:tplc="2C0A0005" w:tentative="1">
      <w:start w:val="1"/>
      <w:numFmt w:val="bullet"/>
      <w:lvlText w:val=""/>
      <w:lvlJc w:val="left"/>
      <w:pPr>
        <w:ind w:left="4380" w:hanging="360"/>
      </w:pPr>
      <w:rPr>
        <w:rFonts w:ascii="Wingdings" w:hAnsi="Wingdings" w:hint="default"/>
      </w:rPr>
    </w:lvl>
    <w:lvl w:ilvl="6" w:tplc="2C0A0001" w:tentative="1">
      <w:start w:val="1"/>
      <w:numFmt w:val="bullet"/>
      <w:lvlText w:val=""/>
      <w:lvlJc w:val="left"/>
      <w:pPr>
        <w:ind w:left="5100" w:hanging="360"/>
      </w:pPr>
      <w:rPr>
        <w:rFonts w:ascii="Symbol" w:hAnsi="Symbol" w:hint="default"/>
      </w:rPr>
    </w:lvl>
    <w:lvl w:ilvl="7" w:tplc="2C0A0003" w:tentative="1">
      <w:start w:val="1"/>
      <w:numFmt w:val="bullet"/>
      <w:lvlText w:val="o"/>
      <w:lvlJc w:val="left"/>
      <w:pPr>
        <w:ind w:left="5820" w:hanging="360"/>
      </w:pPr>
      <w:rPr>
        <w:rFonts w:ascii="Courier New" w:hAnsi="Courier New" w:cs="Courier New" w:hint="default"/>
      </w:rPr>
    </w:lvl>
    <w:lvl w:ilvl="8" w:tplc="2C0A0005" w:tentative="1">
      <w:start w:val="1"/>
      <w:numFmt w:val="bullet"/>
      <w:lvlText w:val=""/>
      <w:lvlJc w:val="left"/>
      <w:pPr>
        <w:ind w:left="6540" w:hanging="360"/>
      </w:pPr>
      <w:rPr>
        <w:rFonts w:ascii="Wingdings" w:hAnsi="Wingdings" w:hint="default"/>
      </w:rPr>
    </w:lvl>
  </w:abstractNum>
  <w:abstractNum w:abstractNumId="2">
    <w:nsid w:val="3EF34425"/>
    <w:multiLevelType w:val="hybridMultilevel"/>
    <w:tmpl w:val="AE3CC0AE"/>
    <w:lvl w:ilvl="0" w:tplc="2C0A000F">
      <w:start w:val="1"/>
      <w:numFmt w:val="decimal"/>
      <w:lvlText w:val="%1."/>
      <w:lvlJc w:val="left"/>
      <w:pPr>
        <w:ind w:left="360" w:hanging="360"/>
      </w:pPr>
      <w:rPr>
        <w:rFonts w:hint="default"/>
      </w:rPr>
    </w:lvl>
    <w:lvl w:ilvl="1" w:tplc="2C0A0001">
      <w:start w:val="1"/>
      <w:numFmt w:val="bullet"/>
      <w:lvlText w:val=""/>
      <w:lvlJc w:val="left"/>
      <w:pPr>
        <w:ind w:left="1080" w:hanging="360"/>
      </w:pPr>
      <w:rPr>
        <w:rFonts w:ascii="Symbol" w:hAnsi="Symbol" w:hint="default"/>
      </w:rPr>
    </w:lvl>
    <w:lvl w:ilvl="2" w:tplc="2C0A001B">
      <w:start w:val="1"/>
      <w:numFmt w:val="lowerRoman"/>
      <w:lvlText w:val="%3."/>
      <w:lvlJc w:val="right"/>
      <w:pPr>
        <w:ind w:left="1800" w:hanging="180"/>
      </w:pPr>
    </w:lvl>
    <w:lvl w:ilvl="3" w:tplc="2C0A000F" w:tentative="1">
      <w:start w:val="1"/>
      <w:numFmt w:val="decimal"/>
      <w:lvlText w:val="%4."/>
      <w:lvlJc w:val="left"/>
      <w:pPr>
        <w:ind w:left="2520" w:hanging="360"/>
      </w:pPr>
    </w:lvl>
    <w:lvl w:ilvl="4" w:tplc="2C0A0019" w:tentative="1">
      <w:start w:val="1"/>
      <w:numFmt w:val="lowerLetter"/>
      <w:lvlText w:val="%5."/>
      <w:lvlJc w:val="left"/>
      <w:pPr>
        <w:ind w:left="3240" w:hanging="360"/>
      </w:pPr>
    </w:lvl>
    <w:lvl w:ilvl="5" w:tplc="2C0A001B" w:tentative="1">
      <w:start w:val="1"/>
      <w:numFmt w:val="lowerRoman"/>
      <w:lvlText w:val="%6."/>
      <w:lvlJc w:val="right"/>
      <w:pPr>
        <w:ind w:left="3960" w:hanging="180"/>
      </w:pPr>
    </w:lvl>
    <w:lvl w:ilvl="6" w:tplc="2C0A000F" w:tentative="1">
      <w:start w:val="1"/>
      <w:numFmt w:val="decimal"/>
      <w:lvlText w:val="%7."/>
      <w:lvlJc w:val="left"/>
      <w:pPr>
        <w:ind w:left="4680" w:hanging="360"/>
      </w:pPr>
    </w:lvl>
    <w:lvl w:ilvl="7" w:tplc="2C0A0019" w:tentative="1">
      <w:start w:val="1"/>
      <w:numFmt w:val="lowerLetter"/>
      <w:lvlText w:val="%8."/>
      <w:lvlJc w:val="left"/>
      <w:pPr>
        <w:ind w:left="5400" w:hanging="360"/>
      </w:pPr>
    </w:lvl>
    <w:lvl w:ilvl="8" w:tplc="2C0A001B" w:tentative="1">
      <w:start w:val="1"/>
      <w:numFmt w:val="lowerRoman"/>
      <w:lvlText w:val="%9."/>
      <w:lvlJc w:val="right"/>
      <w:pPr>
        <w:ind w:left="6120" w:hanging="180"/>
      </w:pPr>
    </w:lvl>
  </w:abstractNum>
  <w:abstractNum w:abstractNumId="3">
    <w:nsid w:val="57B73FAF"/>
    <w:multiLevelType w:val="hybridMultilevel"/>
    <w:tmpl w:val="A87E60DC"/>
    <w:lvl w:ilvl="0" w:tplc="2C0A0001">
      <w:start w:val="1"/>
      <w:numFmt w:val="bullet"/>
      <w:lvlText w:val=""/>
      <w:lvlJc w:val="left"/>
      <w:pPr>
        <w:ind w:left="1068" w:hanging="360"/>
      </w:pPr>
      <w:rPr>
        <w:rFonts w:ascii="Symbol" w:hAnsi="Symbol" w:hint="default"/>
      </w:rPr>
    </w:lvl>
    <w:lvl w:ilvl="1" w:tplc="2C0A0003" w:tentative="1">
      <w:start w:val="1"/>
      <w:numFmt w:val="bullet"/>
      <w:lvlText w:val="o"/>
      <w:lvlJc w:val="left"/>
      <w:pPr>
        <w:ind w:left="1788" w:hanging="360"/>
      </w:pPr>
      <w:rPr>
        <w:rFonts w:ascii="Courier New" w:hAnsi="Courier New" w:cs="Courier New" w:hint="default"/>
      </w:rPr>
    </w:lvl>
    <w:lvl w:ilvl="2" w:tplc="2C0A0005" w:tentative="1">
      <w:start w:val="1"/>
      <w:numFmt w:val="bullet"/>
      <w:lvlText w:val=""/>
      <w:lvlJc w:val="left"/>
      <w:pPr>
        <w:ind w:left="2508" w:hanging="360"/>
      </w:pPr>
      <w:rPr>
        <w:rFonts w:ascii="Wingdings" w:hAnsi="Wingdings" w:hint="default"/>
      </w:rPr>
    </w:lvl>
    <w:lvl w:ilvl="3" w:tplc="2C0A0001" w:tentative="1">
      <w:start w:val="1"/>
      <w:numFmt w:val="bullet"/>
      <w:lvlText w:val=""/>
      <w:lvlJc w:val="left"/>
      <w:pPr>
        <w:ind w:left="3228" w:hanging="360"/>
      </w:pPr>
      <w:rPr>
        <w:rFonts w:ascii="Symbol" w:hAnsi="Symbol" w:hint="default"/>
      </w:rPr>
    </w:lvl>
    <w:lvl w:ilvl="4" w:tplc="2C0A0003" w:tentative="1">
      <w:start w:val="1"/>
      <w:numFmt w:val="bullet"/>
      <w:lvlText w:val="o"/>
      <w:lvlJc w:val="left"/>
      <w:pPr>
        <w:ind w:left="3948" w:hanging="360"/>
      </w:pPr>
      <w:rPr>
        <w:rFonts w:ascii="Courier New" w:hAnsi="Courier New" w:cs="Courier New" w:hint="default"/>
      </w:rPr>
    </w:lvl>
    <w:lvl w:ilvl="5" w:tplc="2C0A0005" w:tentative="1">
      <w:start w:val="1"/>
      <w:numFmt w:val="bullet"/>
      <w:lvlText w:val=""/>
      <w:lvlJc w:val="left"/>
      <w:pPr>
        <w:ind w:left="4668" w:hanging="360"/>
      </w:pPr>
      <w:rPr>
        <w:rFonts w:ascii="Wingdings" w:hAnsi="Wingdings" w:hint="default"/>
      </w:rPr>
    </w:lvl>
    <w:lvl w:ilvl="6" w:tplc="2C0A0001" w:tentative="1">
      <w:start w:val="1"/>
      <w:numFmt w:val="bullet"/>
      <w:lvlText w:val=""/>
      <w:lvlJc w:val="left"/>
      <w:pPr>
        <w:ind w:left="5388" w:hanging="360"/>
      </w:pPr>
      <w:rPr>
        <w:rFonts w:ascii="Symbol" w:hAnsi="Symbol" w:hint="default"/>
      </w:rPr>
    </w:lvl>
    <w:lvl w:ilvl="7" w:tplc="2C0A0003" w:tentative="1">
      <w:start w:val="1"/>
      <w:numFmt w:val="bullet"/>
      <w:lvlText w:val="o"/>
      <w:lvlJc w:val="left"/>
      <w:pPr>
        <w:ind w:left="6108" w:hanging="360"/>
      </w:pPr>
      <w:rPr>
        <w:rFonts w:ascii="Courier New" w:hAnsi="Courier New" w:cs="Courier New" w:hint="default"/>
      </w:rPr>
    </w:lvl>
    <w:lvl w:ilvl="8" w:tplc="2C0A0005" w:tentative="1">
      <w:start w:val="1"/>
      <w:numFmt w:val="bullet"/>
      <w:lvlText w:val=""/>
      <w:lvlJc w:val="left"/>
      <w:pPr>
        <w:ind w:left="6828" w:hanging="360"/>
      </w:pPr>
      <w:rPr>
        <w:rFonts w:ascii="Wingdings" w:hAnsi="Wingdings" w:hint="default"/>
      </w:rPr>
    </w:lvl>
  </w:abstractNum>
  <w:abstractNum w:abstractNumId="4">
    <w:nsid w:val="5FE51345"/>
    <w:multiLevelType w:val="hybridMultilevel"/>
    <w:tmpl w:val="C1267B9E"/>
    <w:lvl w:ilvl="0" w:tplc="2C0A0001">
      <w:start w:val="1"/>
      <w:numFmt w:val="bullet"/>
      <w:lvlText w:val=""/>
      <w:lvlJc w:val="left"/>
      <w:pPr>
        <w:ind w:left="720" w:hanging="360"/>
      </w:pPr>
      <w:rPr>
        <w:rFonts w:ascii="Symbol" w:hAnsi="Symbol" w:hint="default"/>
      </w:rPr>
    </w:lvl>
    <w:lvl w:ilvl="1" w:tplc="2C0A0001">
      <w:start w:val="1"/>
      <w:numFmt w:val="bullet"/>
      <w:lvlText w:val=""/>
      <w:lvlJc w:val="left"/>
      <w:pPr>
        <w:ind w:left="1440" w:hanging="360"/>
      </w:pPr>
      <w:rPr>
        <w:rFonts w:ascii="Symbol" w:hAnsi="Symbol" w:hint="default"/>
      </w:r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64B839DF"/>
    <w:multiLevelType w:val="hybridMultilevel"/>
    <w:tmpl w:val="B6F6AF62"/>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6">
    <w:nsid w:val="722D6D99"/>
    <w:multiLevelType w:val="hybridMultilevel"/>
    <w:tmpl w:val="CD4E9F2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5"/>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E8B"/>
    <w:rsid w:val="000C1264"/>
    <w:rsid w:val="001A4C17"/>
    <w:rsid w:val="001C6395"/>
    <w:rsid w:val="001D7098"/>
    <w:rsid w:val="00214B71"/>
    <w:rsid w:val="00226574"/>
    <w:rsid w:val="0024027C"/>
    <w:rsid w:val="00257F01"/>
    <w:rsid w:val="002E5FA7"/>
    <w:rsid w:val="00356876"/>
    <w:rsid w:val="003D4D0F"/>
    <w:rsid w:val="00415FE4"/>
    <w:rsid w:val="00470351"/>
    <w:rsid w:val="004B253D"/>
    <w:rsid w:val="004D091E"/>
    <w:rsid w:val="00515290"/>
    <w:rsid w:val="0052577B"/>
    <w:rsid w:val="00563E8B"/>
    <w:rsid w:val="005F312C"/>
    <w:rsid w:val="0060375C"/>
    <w:rsid w:val="00631483"/>
    <w:rsid w:val="00633DD1"/>
    <w:rsid w:val="0063722B"/>
    <w:rsid w:val="006705CF"/>
    <w:rsid w:val="006B7821"/>
    <w:rsid w:val="0072203F"/>
    <w:rsid w:val="007E5F85"/>
    <w:rsid w:val="0087629E"/>
    <w:rsid w:val="00886651"/>
    <w:rsid w:val="008B2FB5"/>
    <w:rsid w:val="008B3FAF"/>
    <w:rsid w:val="008D53D9"/>
    <w:rsid w:val="008E34DD"/>
    <w:rsid w:val="00965DB0"/>
    <w:rsid w:val="00974A63"/>
    <w:rsid w:val="00985E30"/>
    <w:rsid w:val="009F2B84"/>
    <w:rsid w:val="00A12DF7"/>
    <w:rsid w:val="00A26A56"/>
    <w:rsid w:val="00A35F42"/>
    <w:rsid w:val="00A57941"/>
    <w:rsid w:val="00A62A7A"/>
    <w:rsid w:val="00AC5CEF"/>
    <w:rsid w:val="00B072FD"/>
    <w:rsid w:val="00B154F8"/>
    <w:rsid w:val="00B168FC"/>
    <w:rsid w:val="00B965BD"/>
    <w:rsid w:val="00BB4441"/>
    <w:rsid w:val="00C41937"/>
    <w:rsid w:val="00C42405"/>
    <w:rsid w:val="00C96D46"/>
    <w:rsid w:val="00DE072B"/>
    <w:rsid w:val="00E05DD8"/>
    <w:rsid w:val="00E44C56"/>
    <w:rsid w:val="00E76CB0"/>
    <w:rsid w:val="00E85774"/>
    <w:rsid w:val="00EC450F"/>
    <w:rsid w:val="00EC47FE"/>
    <w:rsid w:val="00EE5D7A"/>
    <w:rsid w:val="00F12BE1"/>
    <w:rsid w:val="00F924C8"/>
    <w:rsid w:val="00F9699C"/>
    <w:rsid w:val="00FB4F2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1D70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44C56"/>
    <w:pPr>
      <w:ind w:left="720"/>
      <w:contextualSpacing/>
    </w:pPr>
  </w:style>
  <w:style w:type="paragraph" w:styleId="Textodeglobo">
    <w:name w:val="Balloon Text"/>
    <w:basedOn w:val="Normal"/>
    <w:link w:val="TextodegloboCar"/>
    <w:uiPriority w:val="99"/>
    <w:semiHidden/>
    <w:unhideWhenUsed/>
    <w:rsid w:val="00B0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072FD"/>
    <w:rPr>
      <w:rFonts w:ascii="Tahoma" w:hAnsi="Tahoma" w:cs="Tahoma"/>
      <w:sz w:val="16"/>
      <w:szCs w:val="16"/>
    </w:rPr>
  </w:style>
  <w:style w:type="character" w:customStyle="1" w:styleId="apple-converted-space">
    <w:name w:val="apple-converted-space"/>
    <w:basedOn w:val="Fuentedeprrafopredeter"/>
    <w:rsid w:val="00631483"/>
  </w:style>
  <w:style w:type="character" w:customStyle="1" w:styleId="Ttulo1Car">
    <w:name w:val="Título 1 Car"/>
    <w:basedOn w:val="Fuentedeprrafopredeter"/>
    <w:link w:val="Ttulo1"/>
    <w:uiPriority w:val="9"/>
    <w:rsid w:val="001D7098"/>
    <w:rPr>
      <w:rFonts w:asciiTheme="majorHAnsi" w:eastAsiaTheme="majorEastAsia" w:hAnsiTheme="majorHAnsi" w:cstheme="majorBidi"/>
      <w:b/>
      <w:bCs/>
      <w:color w:val="365F91" w:themeColor="accent1" w:themeShade="BF"/>
      <w:sz w:val="28"/>
      <w:szCs w:val="28"/>
    </w:rPr>
  </w:style>
  <w:style w:type="paragraph" w:styleId="TtulodeTDC">
    <w:name w:val="TOC Heading"/>
    <w:basedOn w:val="Ttulo1"/>
    <w:next w:val="Normal"/>
    <w:uiPriority w:val="39"/>
    <w:semiHidden/>
    <w:unhideWhenUsed/>
    <w:qFormat/>
    <w:rsid w:val="001D7098"/>
    <w:pPr>
      <w:outlineLvl w:val="9"/>
    </w:pPr>
    <w:rPr>
      <w:lang w:eastAsia="es-AR"/>
    </w:rPr>
  </w:style>
  <w:style w:type="paragraph" w:styleId="TDC1">
    <w:name w:val="toc 1"/>
    <w:basedOn w:val="Normal"/>
    <w:next w:val="Normal"/>
    <w:autoRedefine/>
    <w:uiPriority w:val="39"/>
    <w:unhideWhenUsed/>
    <w:rsid w:val="001D7098"/>
    <w:pPr>
      <w:spacing w:after="100"/>
    </w:pPr>
  </w:style>
  <w:style w:type="character" w:styleId="Hipervnculo">
    <w:name w:val="Hyperlink"/>
    <w:basedOn w:val="Fuentedeprrafopredeter"/>
    <w:uiPriority w:val="99"/>
    <w:unhideWhenUsed/>
    <w:rsid w:val="001D709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1D70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44C56"/>
    <w:pPr>
      <w:ind w:left="720"/>
      <w:contextualSpacing/>
    </w:pPr>
  </w:style>
  <w:style w:type="paragraph" w:styleId="Textodeglobo">
    <w:name w:val="Balloon Text"/>
    <w:basedOn w:val="Normal"/>
    <w:link w:val="TextodegloboCar"/>
    <w:uiPriority w:val="99"/>
    <w:semiHidden/>
    <w:unhideWhenUsed/>
    <w:rsid w:val="00B0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072FD"/>
    <w:rPr>
      <w:rFonts w:ascii="Tahoma" w:hAnsi="Tahoma" w:cs="Tahoma"/>
      <w:sz w:val="16"/>
      <w:szCs w:val="16"/>
    </w:rPr>
  </w:style>
  <w:style w:type="character" w:customStyle="1" w:styleId="apple-converted-space">
    <w:name w:val="apple-converted-space"/>
    <w:basedOn w:val="Fuentedeprrafopredeter"/>
    <w:rsid w:val="00631483"/>
  </w:style>
  <w:style w:type="character" w:customStyle="1" w:styleId="Ttulo1Car">
    <w:name w:val="Título 1 Car"/>
    <w:basedOn w:val="Fuentedeprrafopredeter"/>
    <w:link w:val="Ttulo1"/>
    <w:uiPriority w:val="9"/>
    <w:rsid w:val="001D7098"/>
    <w:rPr>
      <w:rFonts w:asciiTheme="majorHAnsi" w:eastAsiaTheme="majorEastAsia" w:hAnsiTheme="majorHAnsi" w:cstheme="majorBidi"/>
      <w:b/>
      <w:bCs/>
      <w:color w:val="365F91" w:themeColor="accent1" w:themeShade="BF"/>
      <w:sz w:val="28"/>
      <w:szCs w:val="28"/>
    </w:rPr>
  </w:style>
  <w:style w:type="paragraph" w:styleId="TtulodeTDC">
    <w:name w:val="TOC Heading"/>
    <w:basedOn w:val="Ttulo1"/>
    <w:next w:val="Normal"/>
    <w:uiPriority w:val="39"/>
    <w:semiHidden/>
    <w:unhideWhenUsed/>
    <w:qFormat/>
    <w:rsid w:val="001D7098"/>
    <w:pPr>
      <w:outlineLvl w:val="9"/>
    </w:pPr>
    <w:rPr>
      <w:lang w:eastAsia="es-AR"/>
    </w:rPr>
  </w:style>
  <w:style w:type="paragraph" w:styleId="TDC1">
    <w:name w:val="toc 1"/>
    <w:basedOn w:val="Normal"/>
    <w:next w:val="Normal"/>
    <w:autoRedefine/>
    <w:uiPriority w:val="39"/>
    <w:unhideWhenUsed/>
    <w:rsid w:val="001D7098"/>
    <w:pPr>
      <w:spacing w:after="100"/>
    </w:pPr>
  </w:style>
  <w:style w:type="character" w:styleId="Hipervnculo">
    <w:name w:val="Hyperlink"/>
    <w:basedOn w:val="Fuentedeprrafopredeter"/>
    <w:uiPriority w:val="99"/>
    <w:unhideWhenUsed/>
    <w:rsid w:val="001D70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3100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Libro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A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200"/>
          </a:pPr>
          <a:endParaRPr lang="es-AR"/>
        </a:p>
      </c:txPr>
    </c:title>
    <c:autoTitleDeleted val="0"/>
    <c:plotArea>
      <c:layout/>
      <c:barChart>
        <c:barDir val="col"/>
        <c:grouping val="clustered"/>
        <c:varyColors val="0"/>
        <c:ser>
          <c:idx val="3"/>
          <c:order val="0"/>
          <c:tx>
            <c:strRef>
              <c:f>Hoja1!$E$2</c:f>
              <c:strCache>
                <c:ptCount val="1"/>
                <c:pt idx="0">
                  <c:v>Incidencia coches reserva/ total</c:v>
                </c:pt>
              </c:strCache>
            </c:strRef>
          </c:tx>
          <c:invertIfNegative val="0"/>
          <c:cat>
            <c:numRef>
              <c:f>Hoja1!$B$3:$B$61</c:f>
              <c:numCache>
                <c:formatCode>General</c:formatCode>
                <c:ptCount val="59"/>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pt idx="30">
                  <c:v>31</c:v>
                </c:pt>
                <c:pt idx="31">
                  <c:v>32</c:v>
                </c:pt>
                <c:pt idx="32">
                  <c:v>33</c:v>
                </c:pt>
                <c:pt idx="33">
                  <c:v>34</c:v>
                </c:pt>
                <c:pt idx="34">
                  <c:v>35</c:v>
                </c:pt>
                <c:pt idx="35">
                  <c:v>36</c:v>
                </c:pt>
                <c:pt idx="36">
                  <c:v>37</c:v>
                </c:pt>
                <c:pt idx="37">
                  <c:v>38</c:v>
                </c:pt>
                <c:pt idx="38">
                  <c:v>39</c:v>
                </c:pt>
                <c:pt idx="39">
                  <c:v>40</c:v>
                </c:pt>
                <c:pt idx="40">
                  <c:v>41</c:v>
                </c:pt>
                <c:pt idx="41">
                  <c:v>42</c:v>
                </c:pt>
                <c:pt idx="42">
                  <c:v>43</c:v>
                </c:pt>
                <c:pt idx="43">
                  <c:v>44</c:v>
                </c:pt>
                <c:pt idx="44">
                  <c:v>45</c:v>
                </c:pt>
                <c:pt idx="45">
                  <c:v>46</c:v>
                </c:pt>
                <c:pt idx="46">
                  <c:v>47</c:v>
                </c:pt>
                <c:pt idx="47">
                  <c:v>48</c:v>
                </c:pt>
                <c:pt idx="48">
                  <c:v>49</c:v>
                </c:pt>
                <c:pt idx="49">
                  <c:v>50</c:v>
                </c:pt>
                <c:pt idx="50">
                  <c:v>51</c:v>
                </c:pt>
                <c:pt idx="51">
                  <c:v>52</c:v>
                </c:pt>
                <c:pt idx="52">
                  <c:v>53</c:v>
                </c:pt>
                <c:pt idx="53">
                  <c:v>54</c:v>
                </c:pt>
                <c:pt idx="54">
                  <c:v>55</c:v>
                </c:pt>
                <c:pt idx="55">
                  <c:v>56</c:v>
                </c:pt>
                <c:pt idx="56">
                  <c:v>57</c:v>
                </c:pt>
                <c:pt idx="57">
                  <c:v>58</c:v>
                </c:pt>
                <c:pt idx="58">
                  <c:v>59</c:v>
                </c:pt>
              </c:numCache>
            </c:numRef>
          </c:cat>
          <c:val>
            <c:numRef>
              <c:f>Hoja1!$E$3:$E$61</c:f>
              <c:numCache>
                <c:formatCode>0%</c:formatCode>
                <c:ptCount val="59"/>
                <c:pt idx="0">
                  <c:v>1</c:v>
                </c:pt>
                <c:pt idx="1">
                  <c:v>0.5</c:v>
                </c:pt>
                <c:pt idx="2">
                  <c:v>0.33333333333333331</c:v>
                </c:pt>
                <c:pt idx="3">
                  <c:v>0.25</c:v>
                </c:pt>
                <c:pt idx="4">
                  <c:v>0.2</c:v>
                </c:pt>
                <c:pt idx="5">
                  <c:v>0.16666666666666666</c:v>
                </c:pt>
                <c:pt idx="6">
                  <c:v>0.14285714285714285</c:v>
                </c:pt>
                <c:pt idx="7">
                  <c:v>0.125</c:v>
                </c:pt>
                <c:pt idx="8">
                  <c:v>0.1111111111111111</c:v>
                </c:pt>
                <c:pt idx="9">
                  <c:v>0.1</c:v>
                </c:pt>
                <c:pt idx="10">
                  <c:v>0.18181818181818182</c:v>
                </c:pt>
                <c:pt idx="11">
                  <c:v>0.16666666666666666</c:v>
                </c:pt>
                <c:pt idx="12">
                  <c:v>0.15384615384615385</c:v>
                </c:pt>
                <c:pt idx="13">
                  <c:v>0.14285714285714285</c:v>
                </c:pt>
                <c:pt idx="14">
                  <c:v>0.13333333333333333</c:v>
                </c:pt>
                <c:pt idx="15">
                  <c:v>0.125</c:v>
                </c:pt>
                <c:pt idx="16">
                  <c:v>0.11764705882352941</c:v>
                </c:pt>
                <c:pt idx="17">
                  <c:v>0.1111111111111111</c:v>
                </c:pt>
                <c:pt idx="18">
                  <c:v>0.10526315789473684</c:v>
                </c:pt>
                <c:pt idx="19">
                  <c:v>0.1</c:v>
                </c:pt>
                <c:pt idx="20">
                  <c:v>0.14285714285714285</c:v>
                </c:pt>
                <c:pt idx="21">
                  <c:v>0.13636363636363635</c:v>
                </c:pt>
                <c:pt idx="22">
                  <c:v>0.13043478260869565</c:v>
                </c:pt>
                <c:pt idx="23">
                  <c:v>0.125</c:v>
                </c:pt>
                <c:pt idx="24">
                  <c:v>0.12</c:v>
                </c:pt>
                <c:pt idx="25">
                  <c:v>0.11538461538461539</c:v>
                </c:pt>
                <c:pt idx="26">
                  <c:v>0.1111111111111111</c:v>
                </c:pt>
                <c:pt idx="27">
                  <c:v>0.10714285714285714</c:v>
                </c:pt>
                <c:pt idx="28">
                  <c:v>0.10344827586206896</c:v>
                </c:pt>
                <c:pt idx="29">
                  <c:v>0.1</c:v>
                </c:pt>
                <c:pt idx="30">
                  <c:v>0.12903225806451613</c:v>
                </c:pt>
                <c:pt idx="31">
                  <c:v>0.125</c:v>
                </c:pt>
                <c:pt idx="32">
                  <c:v>0.12121212121212122</c:v>
                </c:pt>
                <c:pt idx="33">
                  <c:v>0.11764705882352941</c:v>
                </c:pt>
                <c:pt idx="34">
                  <c:v>0.11428571428571428</c:v>
                </c:pt>
                <c:pt idx="35">
                  <c:v>0.1111111111111111</c:v>
                </c:pt>
                <c:pt idx="36">
                  <c:v>0.10810810810810811</c:v>
                </c:pt>
                <c:pt idx="37">
                  <c:v>0.10526315789473684</c:v>
                </c:pt>
                <c:pt idx="38">
                  <c:v>0.10256410256410256</c:v>
                </c:pt>
                <c:pt idx="39">
                  <c:v>0.1</c:v>
                </c:pt>
                <c:pt idx="40">
                  <c:v>0.12195121951219512</c:v>
                </c:pt>
                <c:pt idx="41">
                  <c:v>0.11904761904761904</c:v>
                </c:pt>
                <c:pt idx="42">
                  <c:v>0.11627906976744186</c:v>
                </c:pt>
                <c:pt idx="43">
                  <c:v>0.11363636363636363</c:v>
                </c:pt>
                <c:pt idx="44">
                  <c:v>0.1111111111111111</c:v>
                </c:pt>
                <c:pt idx="45">
                  <c:v>0.10869565217391304</c:v>
                </c:pt>
                <c:pt idx="46">
                  <c:v>0.10638297872340426</c:v>
                </c:pt>
                <c:pt idx="47">
                  <c:v>0.10416666666666667</c:v>
                </c:pt>
                <c:pt idx="48">
                  <c:v>0.10204081632653061</c:v>
                </c:pt>
                <c:pt idx="49">
                  <c:v>0.1</c:v>
                </c:pt>
                <c:pt idx="50">
                  <c:v>9.8039215686274508E-2</c:v>
                </c:pt>
                <c:pt idx="51">
                  <c:v>9.6153846153846159E-2</c:v>
                </c:pt>
                <c:pt idx="52">
                  <c:v>9.4339622641509441E-2</c:v>
                </c:pt>
                <c:pt idx="53">
                  <c:v>9.2592592592592587E-2</c:v>
                </c:pt>
                <c:pt idx="54">
                  <c:v>9.0909090909090912E-2</c:v>
                </c:pt>
                <c:pt idx="55">
                  <c:v>8.9285714285714288E-2</c:v>
                </c:pt>
                <c:pt idx="56">
                  <c:v>8.771929824561403E-2</c:v>
                </c:pt>
                <c:pt idx="57">
                  <c:v>8.6206896551724144E-2</c:v>
                </c:pt>
                <c:pt idx="58">
                  <c:v>8.4745762711864403E-2</c:v>
                </c:pt>
              </c:numCache>
            </c:numRef>
          </c:val>
        </c:ser>
        <c:dLbls>
          <c:showLegendKey val="0"/>
          <c:showVal val="0"/>
          <c:showCatName val="0"/>
          <c:showSerName val="0"/>
          <c:showPercent val="0"/>
          <c:showBubbleSize val="0"/>
        </c:dLbls>
        <c:gapWidth val="150"/>
        <c:axId val="114063616"/>
        <c:axId val="114085888"/>
      </c:barChart>
      <c:catAx>
        <c:axId val="114063616"/>
        <c:scaling>
          <c:orientation val="minMax"/>
        </c:scaling>
        <c:delete val="0"/>
        <c:axPos val="b"/>
        <c:numFmt formatCode="General" sourceLinked="1"/>
        <c:majorTickMark val="out"/>
        <c:minorTickMark val="none"/>
        <c:tickLblPos val="nextTo"/>
        <c:crossAx val="114085888"/>
        <c:crosses val="autoZero"/>
        <c:auto val="1"/>
        <c:lblAlgn val="ctr"/>
        <c:lblOffset val="100"/>
        <c:noMultiLvlLbl val="0"/>
      </c:catAx>
      <c:valAx>
        <c:axId val="114085888"/>
        <c:scaling>
          <c:orientation val="minMax"/>
        </c:scaling>
        <c:delete val="0"/>
        <c:axPos val="l"/>
        <c:majorGridlines/>
        <c:numFmt formatCode="0%" sourceLinked="1"/>
        <c:majorTickMark val="out"/>
        <c:minorTickMark val="none"/>
        <c:tickLblPos val="nextTo"/>
        <c:crossAx val="114063616"/>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E434D-4AA2-434B-80E5-D338C571F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3410</Words>
  <Characters>18757</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dc:creator>
  <cp:lastModifiedBy>WinuE</cp:lastModifiedBy>
  <cp:revision>16</cp:revision>
  <dcterms:created xsi:type="dcterms:W3CDTF">2013-05-21T14:28:00Z</dcterms:created>
  <dcterms:modified xsi:type="dcterms:W3CDTF">2013-05-21T19:53:00Z</dcterms:modified>
</cp:coreProperties>
</file>